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rc-20261014.htm"/>
      <w:bookmarkStart w:id="1" w:name="ksrrc20261014"/>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180" w:after="283"/>
        <w:jc w:val="center"/>
        <w:rPr>
          <w:rFonts w:ascii="Times New Roman" w:hAnsi="Times New Roman"/>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bidi w:val="0"/>
        <w:spacing w:before="180" w:after="283"/>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spacing w:before="180" w:after="283"/>
        <w:jc w:val="center"/>
        <w:rPr>
          <w:rFonts w:ascii="Times New Roman" w:hAnsi="Times New Roman"/>
          <w:sz w:val="24"/>
        </w:rPr>
      </w:pPr>
      <w:r>
        <w:rPr>
          <w:rFonts w:ascii="Times New Roman" w:hAnsi="Times New Roman"/>
          <w:b/>
          <w:color w:val="000000"/>
          <w:sz w:val="24"/>
        </w:rPr>
        <w:t>Pursuant to Section 13 or 15(d) of the Securities Exchange Act of 1934</w:t>
      </w:r>
      <w:r>
        <w:rPr>
          <w:rFonts w:ascii="Times New Roman" w:hAnsi="Times New Roman"/>
          <w:color w:val="000000"/>
          <w:sz w:val="24"/>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14, 2026</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RANGE RESOURCES CORPORATION</w:t>
      </w:r>
    </w:p>
    <w:p>
      <w:pPr>
        <w:pStyle w:val="TextBody"/>
        <w:bidi w:val="0"/>
        <w:jc w:val="center"/>
        <w:rPr>
          <w:rFonts w:ascii="Times New Roman" w:hAnsi="Times New Roman"/>
          <w:sz w:val="16"/>
        </w:rPr>
      </w:pPr>
      <w:r>
        <w:rPr>
          <w:rFonts w:ascii="Times New Roman" w:hAnsi="Times New Roman"/>
          <w:b/>
          <w:color w:val="000000"/>
          <w:sz w:val="16"/>
        </w:rPr>
        <w:t>(Exact name of Registrant as Specified in Its Charter)</w:t>
      </w:r>
      <w:r>
        <w:rPr>
          <w:rFonts w:ascii="Times New Roman" w:hAnsi="Times New Roman"/>
          <w:color w:val="000000"/>
          <w:sz w:val="16"/>
        </w:rPr>
        <w:t xml:space="preserve"> </w:t>
      </w:r>
    </w:p>
    <w:tbl>
      <w:tblPr>
        <w:tblW w:w="6783" w:type="dxa"/>
        <w:jc w:val="left"/>
        <w:tblInd w:w="0" w:type="dxa"/>
        <w:tblLayout w:type="fixed"/>
        <w:tblCellMar>
          <w:top w:w="28" w:type="dxa"/>
          <w:left w:w="28" w:type="dxa"/>
          <w:bottom w:w="28" w:type="dxa"/>
          <w:right w:w="28" w:type="dxa"/>
        </w:tblCellMar>
      </w:tblPr>
      <w:tblGrid>
        <w:gridCol w:w="3256"/>
        <w:gridCol w:w="2041"/>
        <w:gridCol w:w="1486"/>
      </w:tblGrid>
      <w:tr>
        <w:trPr/>
        <w:tc>
          <w:tcPr>
            <w:tcW w:w="325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001-12209</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34-1312571</w:t>
            </w:r>
          </w:p>
        </w:tc>
      </w:tr>
      <w:tr>
        <w:trPr/>
        <w:tc>
          <w:tcPr>
            <w:tcW w:w="32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100 Throckmorton Street, Suite 1200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Fort Worth, Texas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76102</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(817) 870-2601</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16"/>
        </w:rPr>
      </w:pPr>
      <w:r>
        <w:rPr>
          <w:rFonts w:ascii="Times New Roman" w:hAnsi="Times New Roman"/>
          <w:b/>
          <w:color w:val="000000"/>
          <w:sz w:val="16"/>
        </w:rPr>
        <w:t>(Former Name or Former Address, if Changed Since Last Report)</w:t>
      </w:r>
      <w:r>
        <w:rPr>
          <w:rFonts w:ascii="Times New Roman" w:hAnsi="Times New Roman"/>
          <w:color w:val="000000"/>
          <w:sz w:val="16"/>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or to be registered pursuant to Section 12(b) of the Act:</w:t>
      </w:r>
    </w:p>
    <w:tbl>
      <w:tblPr>
        <w:tblW w:w="7165" w:type="dxa"/>
        <w:jc w:val="left"/>
        <w:tblInd w:w="0" w:type="dxa"/>
        <w:tblLayout w:type="fixed"/>
        <w:tblCellMar>
          <w:top w:w="28" w:type="dxa"/>
          <w:left w:w="28" w:type="dxa"/>
          <w:bottom w:w="28" w:type="dxa"/>
          <w:right w:w="28" w:type="dxa"/>
        </w:tblCellMar>
      </w:tblPr>
      <w:tblGrid>
        <w:gridCol w:w="2731"/>
        <w:gridCol w:w="146"/>
        <w:gridCol w:w="826"/>
        <w:gridCol w:w="146"/>
        <w:gridCol w:w="331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RRC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7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Range Resources Corporation ("Range") expects to report a total gain on derivatives of $58.1 million for the three months ended September 30, 2026.</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for the three months ended September 30, 2026, Range expects to report net cash settlements received as shown below (in thousands):</w:t>
      </w:r>
    </w:p>
    <w:tbl>
      <w:tblPr>
        <w:tblW w:w="5642" w:type="dxa"/>
        <w:jc w:val="left"/>
        <w:tblInd w:w="0" w:type="dxa"/>
        <w:tblLayout w:type="fixed"/>
        <w:tblCellMar>
          <w:top w:w="28" w:type="dxa"/>
          <w:left w:w="28" w:type="dxa"/>
          <w:bottom w:w="28" w:type="dxa"/>
          <w:right w:w="28" w:type="dxa"/>
        </w:tblCellMar>
      </w:tblPr>
      <w:tblGrid>
        <w:gridCol w:w="3556"/>
        <w:gridCol w:w="445"/>
        <w:gridCol w:w="1430"/>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receipt on derivative settlements:</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Natural gas derivatives</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Natural gas basis derivatives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Oil derivatives</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NGLs derivatives</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pPr>
            <w:r>
              <w:rPr>
                <w:color w:val="000000"/>
              </w:rPr>
              <w:t>      </w:t>
            </w:r>
            <w:r>
              <w:rPr>
                <w:rFonts w:ascii="Times New Roman" w:hAnsi="Times New Roman"/>
                <w:color w:val="000000"/>
                <w:sz w:val="20"/>
              </w:rPr>
              <w:t>Total net cash receipt</w:t>
            </w:r>
            <w:r>
              <w:rPr>
                <w:rFonts w:ascii="Times New Roman" w:hAnsi="Times New Roman"/>
                <w:color w:val="000000"/>
                <w:sz w:val="13"/>
              </w:rPr>
              <w:t>(a)</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lineRule="auto" w:line="360"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expected to be reported on the statement of cash flows.</w:t>
      </w:r>
    </w:p>
    <w:p>
      <w:pPr>
        <w:pStyle w:val="TextBody"/>
        <w:bidi w:val="0"/>
        <w:spacing w:before="360" w:after="180"/>
        <w:jc w:val="left"/>
        <w:rPr>
          <w:rFonts w:ascii="Times New Roman" w:hAnsi="Times New Roman"/>
          <w:color w:val="000000"/>
          <w:sz w:val="20"/>
        </w:rPr>
      </w:pPr>
      <w:r>
        <w:rPr>
          <w:rFonts w:ascii="Times New Roman" w:hAnsi="Times New Roman"/>
          <w:color w:val="000000"/>
          <w:sz w:val="20"/>
        </w:rPr>
        <w:t>The dollar amounts included in this current report are preliminary and subject to change. Final dollar amounts for the three months ended September 30, 2026 will be reported in our Quarterly Report on Form 10-Q for the period ended September 30, 2026 or in the corresponding earnings release.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contained in this current report shall not be deemed “filed” for the purposes of Section 18 of the Securities and Exchange Act of 1934, nor shall it be deemed incorporated by reference into any registration statement or other filing pursuant to the Securities Act of 1933, except as otherwise expressly stated in such filing.</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p>
      <w:pPr>
        <w:pStyle w:val="TextBody"/>
        <w:bidi w:val="0"/>
        <w:jc w:val="left"/>
        <w:rPr/>
      </w:pPr>
      <w:r>
        <w:rPr/>
        <w:t> </w:t>
      </w:r>
    </w:p>
    <w:tbl>
      <w:tblPr>
        <w:tblW w:w="4787" w:type="dxa"/>
        <w:jc w:val="left"/>
        <w:tblInd w:w="0" w:type="dxa"/>
        <w:tblLayout w:type="fixed"/>
        <w:tblCellMar>
          <w:top w:w="28" w:type="dxa"/>
          <w:left w:w="28" w:type="dxa"/>
          <w:bottom w:w="28" w:type="dxa"/>
          <w:right w:w="28" w:type="dxa"/>
        </w:tblCellMar>
      </w:tblPr>
      <w:tblGrid>
        <w:gridCol w:w="421"/>
        <w:gridCol w:w="4366"/>
      </w:tblGrid>
      <w:tr>
        <w:trPr/>
        <w:tc>
          <w:tcPr>
            <w:tcW w:w="421"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47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 CORPORATION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/s/</w:t>
            </w:r>
            <w:r>
              <w:rPr>
                <w:rFonts w:ascii="Times New Roman" w:hAnsi="Times New Roman"/>
                <w:color w:val="000000"/>
                <w:sz w:val="20"/>
              </w:rPr>
              <w:t> MARK S. SCUCCHI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S. Scucchi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 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Date: October 14,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571</Words>
  <Characters>3095</Characters>
  <CharactersWithSpaces>3657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