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122555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146685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1300" w:hanging="365"/>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38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5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3360" w:right="19" w:hanging="2610"/>
        <w:spacing w:after="0" w:line="286" w:lineRule="auto"/>
        <w:tabs>
          <w:tab w:leader="none" w:pos="111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 For the transition period from ______ to _______</w:t>
      </w:r>
    </w:p>
    <w:p>
      <w:pPr>
        <w:spacing w:after="0" w:line="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Commission File Number 001-12209</w:t>
      </w: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A.Full title of the plan and address of the plan, if different from the issuer named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-139700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25"/>
          <w:szCs w:val="25"/>
          <w:b w:val="1"/>
          <w:bCs w:val="1"/>
          <w:color w:val="auto"/>
        </w:rPr>
        <w:t>RANGE RESOURCES CORPORATION</w:t>
      </w:r>
    </w:p>
    <w:p>
      <w:pPr>
        <w:spacing w:after="0" w:line="4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25"/>
          <w:szCs w:val="25"/>
          <w:b w:val="1"/>
          <w:bCs w:val="1"/>
          <w:color w:val="auto"/>
        </w:rPr>
        <w:t>401(k)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114300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B.Name of issuer of the securities held pursuant to the plan and address of its principle executive office:</w:t>
      </w:r>
    </w:p>
    <w:p>
      <w:pPr>
        <w:spacing w:after="0" w:line="225"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20"/>
          <w:szCs w:val="20"/>
          <w:b w:val="1"/>
          <w:bCs w:val="1"/>
          <w:color w:val="auto"/>
        </w:rPr>
        <w:t>Range Resources Corporation</w:t>
      </w:r>
    </w:p>
    <w:p>
      <w:pPr>
        <w:spacing w:after="0" w:line="2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20"/>
          <w:szCs w:val="20"/>
          <w:b w:val="1"/>
          <w:bCs w:val="1"/>
          <w:color w:val="auto"/>
        </w:rPr>
        <w:t>100 Throckmorton Street, Suite 1200</w:t>
      </w:r>
    </w:p>
    <w:p>
      <w:pPr>
        <w:spacing w:after="0" w:line="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Fort Worth, Texas 76102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1115060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295910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415925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59"/>
          </w:cols>
          <w:pgMar w:left="700" w:top="1440" w:right="1440"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18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20"/>
        </w:trPr>
        <w:tc>
          <w:tcPr>
            <w:tcW w:w="4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600" w:type="dxa"/>
            <w:vAlign w:val="bottom"/>
            <w:gridSpan w:val="3"/>
          </w:tcPr>
          <w:p>
            <w:pPr>
              <w:spacing w:after="0"/>
              <w:rPr>
                <w:sz w:val="24"/>
                <w:szCs w:val="24"/>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F-2</w:t>
            </w:r>
          </w:p>
        </w:tc>
      </w:tr>
      <w:tr>
        <w:trPr>
          <w:trHeight w:val="668"/>
        </w:trPr>
        <w:tc>
          <w:tcPr>
            <w:tcW w:w="9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tcPr>
          <w:p>
            <w:pPr>
              <w:spacing w:after="0"/>
              <w:rPr>
                <w:sz w:val="24"/>
                <w:szCs w:val="24"/>
                <w:color w:val="auto"/>
              </w:rPr>
            </w:pPr>
          </w:p>
        </w:tc>
      </w:tr>
      <w:tr>
        <w:trPr>
          <w:trHeight w:val="459"/>
        </w:trPr>
        <w:tc>
          <w:tcPr>
            <w:tcW w:w="18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18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4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Changes in Net Assets Available for Benefits</w:t>
            </w:r>
          </w:p>
        </w:tc>
        <w:tc>
          <w:tcPr>
            <w:tcW w:w="5340" w:type="dxa"/>
            <w:vAlign w:val="bottom"/>
            <w:gridSpan w:val="2"/>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F-4</w:t>
            </w:r>
          </w:p>
        </w:tc>
      </w:tr>
      <w:tr>
        <w:trPr>
          <w:trHeight w:val="263"/>
        </w:trPr>
        <w:tc>
          <w:tcPr>
            <w:tcW w:w="180" w:type="dxa"/>
            <w:vAlign w:val="bottom"/>
          </w:tcPr>
          <w:p>
            <w:pPr>
              <w:spacing w:after="0"/>
              <w:rPr>
                <w:sz w:val="22"/>
                <w:szCs w:val="22"/>
                <w:color w:val="auto"/>
              </w:rPr>
            </w:pPr>
          </w:p>
        </w:tc>
        <w:tc>
          <w:tcPr>
            <w:tcW w:w="2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7480" w:type="dxa"/>
            <w:vAlign w:val="bottom"/>
            <w:gridSpan w:val="5"/>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F-5</w:t>
            </w:r>
          </w:p>
        </w:tc>
      </w:tr>
      <w:tr>
        <w:trPr>
          <w:trHeight w:val="304"/>
        </w:trPr>
        <w:tc>
          <w:tcPr>
            <w:tcW w:w="18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Supplemental Schedule —</w:t>
            </w:r>
          </w:p>
        </w:tc>
        <w:tc>
          <w:tcPr>
            <w:tcW w:w="760" w:type="dxa"/>
            <w:vAlign w:val="bottom"/>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Form 5500, Schedule H, Line 4i, Schedule of Assets (Held at End of Year)</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F-12</w:t>
            </w:r>
          </w:p>
        </w:tc>
      </w:tr>
      <w:tr>
        <w:trPr>
          <w:trHeight w:val="20"/>
        </w:trPr>
        <w:tc>
          <w:tcPr>
            <w:tcW w:w="480" w:type="dxa"/>
            <w:vAlign w:val="bottom"/>
            <w:tcBorders>
              <w:right w:val="single" w:sz="8" w:color="0000EE"/>
            </w:tcBorders>
            <w:gridSpan w:val="2"/>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80" w:type="dxa"/>
            <w:vAlign w:val="bottom"/>
            <w:gridSpan w:val="5"/>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1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8800" w:type="dxa"/>
            <w:vAlign w:val="bottom"/>
            <w:gridSpan w:val="6"/>
          </w:tcPr>
          <w:p>
            <w:pPr>
              <w:spacing w:after="0"/>
              <w:rPr>
                <w:sz w:val="24"/>
                <w:szCs w:val="24"/>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F-13</w:t>
            </w:r>
          </w:p>
        </w:tc>
      </w:tr>
      <w:tr>
        <w:trPr>
          <w:trHeight w:val="263"/>
        </w:trPr>
        <w:tc>
          <w:tcPr>
            <w:tcW w:w="9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F-14</w:t>
            </w:r>
          </w:p>
        </w:tc>
      </w:tr>
      <w:tr>
        <w:trPr>
          <w:trHeight w:val="20"/>
        </w:trPr>
        <w:tc>
          <w:tcPr>
            <w:tcW w:w="1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000FF"/>
        </w:rPr>
        <w:t>Exhibit 23 - 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-7620</wp:posOffset>
            </wp:positionV>
            <wp:extent cx="3315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5970" cy="825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000FF"/>
        </w:rPr>
        <w:t>Exhibit 99.1 - Certification of Periodic Financial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1033145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-7620</wp:posOffset>
            </wp:positionV>
            <wp:extent cx="2607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ectPr>
          <w:pgSz w:w="11900" w:h="16838" w:orient="portrait"/>
          <w:cols w:equalWidth="0" w:num="1">
            <w:col w:w="10580"/>
          </w:cols>
          <w:pgMar w:left="760" w:top="1440"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Investment Committee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Range Resources Corporation 401(k)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Range Resources Corporation 401(k) Plan (the “Plan”) as of December 31, 2025 and 2024,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Form 5500,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Whitley Penn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RANGE RESOURCES CORPORATION 401(k) PLAN</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tcBorders>
              <w:bottom w:val="single" w:sz="8" w:color="auto"/>
            </w:tcBorders>
          </w:tcPr>
          <w:p>
            <w:pPr>
              <w:spacing w:after="0"/>
              <w:rPr>
                <w:sz w:val="18"/>
                <w:szCs w:val="18"/>
                <w:color w:val="auto"/>
              </w:rPr>
            </w:pPr>
          </w:p>
        </w:tc>
      </w:tr>
      <w:tr>
        <w:trPr>
          <w:trHeight w:val="199"/>
        </w:trPr>
        <w:tc>
          <w:tcPr>
            <w:tcW w:w="7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2"/>
        </w:trPr>
        <w:tc>
          <w:tcPr>
            <w:tcW w:w="71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Assets</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registered investment companies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Mutual funds</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79,481,443</w:t>
            </w:r>
          </w:p>
        </w:tc>
        <w:tc>
          <w:tcPr>
            <w:tcW w:w="8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67,420,495</w:t>
            </w:r>
          </w:p>
        </w:tc>
      </w:tr>
      <w:tr>
        <w:trPr>
          <w:trHeight w:val="20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collective trusts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150,240,535</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129,861,740</w:t>
            </w:r>
          </w:p>
        </w:tc>
      </w:tr>
      <w:tr>
        <w:trPr>
          <w:trHeight w:val="20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Self-directed brokerage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3,073,952</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1,826,251</w:t>
            </w:r>
          </w:p>
        </w:tc>
      </w:tr>
      <w:tr>
        <w:trPr>
          <w:trHeight w:val="210"/>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Range Resources Corporation common stock</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11,891,301</w:t>
            </w: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11,730,683</w:t>
            </w:r>
          </w:p>
        </w:tc>
      </w:tr>
      <w:tr>
        <w:trPr>
          <w:trHeight w:val="188"/>
        </w:trPr>
        <w:tc>
          <w:tcPr>
            <w:tcW w:w="7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244,687,231</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210,839,169</w:t>
            </w: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1,806,308</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1,683,767</w:t>
            </w: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2"/>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assets available for benefits</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246,493,561</w:t>
            </w:r>
          </w:p>
        </w:tc>
        <w:tc>
          <w:tcPr>
            <w:tcW w:w="360" w:type="dxa"/>
            <w:vAlign w:val="bottom"/>
          </w:tcPr>
          <w:p>
            <w:pPr>
              <w:spacing w:after="0"/>
              <w:rPr>
                <w:sz w:val="17"/>
                <w:szCs w:val="17"/>
                <w:color w:val="auto"/>
              </w:rPr>
            </w:pP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212,522,953</w:t>
            </w:r>
          </w:p>
        </w:tc>
      </w:tr>
      <w:tr>
        <w:trPr>
          <w:trHeight w:val="20"/>
        </w:trPr>
        <w:tc>
          <w:tcPr>
            <w:tcW w:w="7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financial statements.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17" w:right="439" w:bottom="1440" w:gutter="0" w:footer="0" w:header="0"/>
        </w:sectPr>
      </w:pPr>
    </w:p>
    <w:bookmarkStart w:id="4" w:name="page5"/>
    <w:bookmarkEnd w:id="4"/>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RANGE RESOURCES CORPORATION 401(k) PLAN</w:t>
      </w:r>
    </w:p>
    <w:p>
      <w:pPr>
        <w:spacing w:after="0" w:line="2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Additions to net assets</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27,376,911</w:t>
            </w:r>
          </w:p>
        </w:tc>
        <w:tc>
          <w:tcPr>
            <w:tcW w:w="34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22,357,683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dividends</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4,218,202</w:t>
            </w:r>
          </w:p>
        </w:tc>
        <w:tc>
          <w:tcPr>
            <w:tcW w:w="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3,678,521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investment income</w:t>
            </w:r>
          </w:p>
        </w:tc>
        <w:tc>
          <w:tcPr>
            <w:tcW w:w="44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31,595,113</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26,036,204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Participants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9,220,832</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match</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5,723,948</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Rollover and other</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347,343</w:t>
            </w:r>
          </w:p>
        </w:tc>
        <w:tc>
          <w:tcPr>
            <w:tcW w:w="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contributions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15,292,123</w:t>
            </w:r>
          </w:p>
        </w:tc>
        <w:tc>
          <w:tcPr>
            <w:tcW w:w="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14,284,141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Total additions to net assets</w:t>
            </w:r>
          </w:p>
        </w:tc>
        <w:tc>
          <w:tcPr>
            <w:tcW w:w="440" w:type="dxa"/>
            <w:vAlign w:val="bottom"/>
          </w:tcPr>
          <w:p>
            <w:pPr>
              <w:spacing w:after="0"/>
              <w:rPr>
                <w:sz w:val="16"/>
                <w:szCs w:val="16"/>
                <w:color w:val="auto"/>
              </w:rPr>
            </w:pPr>
          </w:p>
        </w:tc>
        <w:tc>
          <w:tcPr>
            <w:tcW w:w="14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46,887,236</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40,320,345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Deductions from net assets</w:t>
            </w:r>
          </w:p>
        </w:tc>
        <w:tc>
          <w:tcPr>
            <w:tcW w:w="440" w:type="dxa"/>
            <w:vAlign w:val="bottom"/>
          </w:tcPr>
          <w:p>
            <w:pPr>
              <w:spacing w:after="0"/>
              <w:rPr>
                <w:sz w:val="20"/>
                <w:szCs w:val="20"/>
                <w:color w:val="auto"/>
              </w:rPr>
            </w:pPr>
          </w:p>
        </w:tc>
        <w:tc>
          <w:tcPr>
            <w:tcW w:w="1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(12,916,628)</w:t>
            </w:r>
          </w:p>
        </w:tc>
        <w:tc>
          <w:tcPr>
            <w:tcW w:w="780" w:type="dxa"/>
            <w:vAlign w:val="bottom"/>
          </w:tcPr>
          <w:p>
            <w:pPr>
              <w:spacing w:after="0"/>
              <w:rPr>
                <w:sz w:val="20"/>
                <w:szCs w:val="20"/>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(10,604,158)</w:t>
            </w:r>
          </w:p>
        </w:tc>
        <w:tc>
          <w:tcPr>
            <w:tcW w:w="0" w:type="dxa"/>
            <w:vAlign w:val="bottom"/>
          </w:tcPr>
          <w:p>
            <w:pPr>
              <w:spacing w:after="0"/>
              <w:rPr>
                <w:sz w:val="1"/>
                <w:szCs w:val="1"/>
                <w:color w:val="auto"/>
              </w:rPr>
            </w:pPr>
          </w:p>
        </w:tc>
      </w:tr>
      <w:tr>
        <w:trPr>
          <w:trHeight w:val="221"/>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44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deductions from net assets</w:t>
            </w: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(12,916,628)</w:t>
            </w:r>
          </w:p>
        </w:tc>
        <w:tc>
          <w:tcPr>
            <w:tcW w:w="34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44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33,970,608</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29,716,187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212,522,953</w:t>
            </w:r>
          </w:p>
        </w:tc>
        <w:tc>
          <w:tcPr>
            <w:tcW w:w="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182,806,766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246,493,561</w:t>
            </w:r>
          </w:p>
        </w:tc>
        <w:tc>
          <w:tcPr>
            <w:tcW w:w="340" w:type="dxa"/>
            <w:vAlign w:val="bottom"/>
          </w:tcPr>
          <w:p>
            <w:pPr>
              <w:spacing w:after="0"/>
              <w:rPr>
                <w:sz w:val="18"/>
                <w:szCs w:val="18"/>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212,522,953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financial statements.</w:t>
      </w:r>
    </w:p>
    <w:p>
      <w:pPr>
        <w:spacing w:after="0" w:line="2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017" w:right="79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RANGE RESOURCES CORPORATION 401(k) PLAN</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140" w:lineRule="exact"/>
        <w:rPr>
          <w:sz w:val="20"/>
          <w:szCs w:val="20"/>
          <w:color w:val="auto"/>
        </w:rPr>
      </w:pPr>
    </w:p>
    <w:p>
      <w:pPr>
        <w:ind w:right="9160" w:firstLine="8"/>
        <w:spacing w:after="0" w:line="440" w:lineRule="auto"/>
        <w:tabs>
          <w:tab w:leader="none" w:pos="26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Plan Description</w:t>
      </w:r>
    </w:p>
    <w:p>
      <w:pPr>
        <w:spacing w:after="0" w:line="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Range Resources Corporation 401(k) Plan (the “Plan”) provides only general information. The Plan is sponsored by Range Resources Corporation (the “Company” or “Plan Sponsor”). Participants should refer to the Plan agreement for a more complete description of the Plan’s provisions.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Plan was established effective January 1, 1989, and most recently restated effective January 1, 2021, as a defined contribution plan covering employees of the Company who are eighteen years of age or older. The Plan is subject to the provisions of the Employee Retirement Income Security Act of 1974 (“ERISA”). The purpose of the Plan is to encourage employees to save and invest, systematically, a portion of their current compensation in order that they may have a source of additional income upon their retirement, or for their family in the event of death.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Participants may contribute up to 75% of their annual compensation, as defined by the Plan. Compensation eligible for contributions excludes spot, irregular, and other ad hoc discretionary bonuses. Contributions are subject to limitations on annual additions and other limitations imposed by the Internal Revenue Code (the “Code”) as defined in the Plan agreement. The Plan allows for both pre-tax and after-tax contributions.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Employees are immediately eligible to participate in the Plan. The Company has an automatic enrollment feature under the Plan. Those employees that do not make an affirmative election to not contribute to the Plan are automatically enrolled in the Plan approximately 45 to 60 days from hire with contributions equal to 6% of pre-tax annual compensation. If those employees added to the Plan under the automatic enrollment feature do not change their deferral, the salary deferral will increase 1% on January 1st of each year up to a maximum salary deferral of 10%.</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Employees who are eligible to make salary deferral contributions under the Plan and who have attained age 50 before the close of the Plan year are eligible for catch-up contributions in accordance with and subject to the limitations imposed by the Code. In July 2024, the Plan approved the optional provision provided by the Setting Every Community Up for Retirement Enhancement 2.0 Act ("SECURE 2.0 Act") which increases the catch-up limits for individuals aged 60-63, effective January 2025.</w:t>
      </w:r>
    </w:p>
    <w:p>
      <w:pPr>
        <w:spacing w:after="0" w:line="72"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Company has a Qualified Automatic Safe Harbor Matching Contribution (“QASH”) in the amount of 100% of the first 6% of deferred compensation. QASH contributions were approximately $5,724,000 and $5,476,000 during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elective contributions, employer contributions, and earnings thereon. Allocations are based on participant earnings as defined in the Plan. The benefit to which a participant is entitled is the benefit that can be provided from the participant’s vested account.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75"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Participants are immediately fully vested in their elective contributions plus actual earnings thereon. All matching contributions are also immediately vested.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RANGE RESOURCES CORPORATION 401(k)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140" w:lineRule="exact"/>
        <w:rPr>
          <w:sz w:val="20"/>
          <w:szCs w:val="20"/>
          <w:color w:val="auto"/>
        </w:rPr>
      </w:pPr>
    </w:p>
    <w:p>
      <w:pPr>
        <w:ind w:right="8260" w:firstLine="8"/>
        <w:spacing w:after="0" w:line="440" w:lineRule="auto"/>
        <w:tabs>
          <w:tab w:leader="none" w:pos="26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 continued Loans</w:t>
      </w:r>
    </w:p>
    <w:p>
      <w:pPr>
        <w:spacing w:after="0" w:line="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Participants may borrow from their fund accounts a minimum of $1,000 up to a maximum equal to the lesser of $50,000 or 50% of their vested account balance. Loan terms range from one to five years or, in the case of a loan to acquire or construct the primary residence of a participant, a period not to exceed a repayment period used by commercial lenders for similar loans. The loans are secured by the balance in the participant’s account and bear interest at the prime rate plus 2.00%, as defined by the Participant Loan Program. Interest rates for outstanding loans ranged from 5.25% to 10.50% for 2025 and 2024. Principal and interest are paid ratably through payroll deductions. Participants must pay a $50 annual service fee for outstanding loans issued after March 31, 2018.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7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Participants withdrawing during the year for reasons of service or disability, retirement, death or termination are entitled to their vested account balance. Benefits are distributed in the form of rollovers, lump sum distributions or installment payments. The Plan has an optional managed payout program designed to support regular monthly payments throughout retirement.</w:t>
      </w:r>
    </w:p>
    <w:p>
      <w:pPr>
        <w:spacing w:after="0" w:line="12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Certain in-service withdrawals are allowed. A participant may also elect to withdraw all or a portion of his or her vested account balance while employed after reaching age 59 ½. A participant may receive a hardship distribution from salary deferrals if the distribution is: (1) on account of uninsured medical expenses incurred by the participant, their spouse or dependents; (2) for the purchase (excluding mortgage payments) of a principal residence of the participant; (3) for the payment of post-secondary tuition expenses; (4) needed to prevent eviction of the participant from his or her principal residence or foreclosure upon the mortgage of the participant’s principal residence; (5) on account of funeral or burial expenses relating to the death of the participant’s deceased parent, spouse, child or dependent; or (6) on account of casualty expenses to repair damage to the participant’s principal residence.</w:t>
      </w:r>
    </w:p>
    <w:p>
      <w:pPr>
        <w:spacing w:after="0" w:line="13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the SECURE 2.0 Act, the Plan increased the age for required minimum distributions (RMD) from age 72 to age 73 effective January 2023. Further changes set forth in the SECURE 2.0 Act include eliminating pre-death RMD rules for Roth accounts and modifying the RMD rules for surviving spousal beneficiaries, which would allow the spousal beneficiary to be treated as the deceased employee. Both of these changes were effective in January 2024.</w:t>
      </w:r>
    </w:p>
    <w:p>
      <w:pPr>
        <w:spacing w:after="0" w:line="122" w:lineRule="exact"/>
        <w:rPr>
          <w:sz w:val="20"/>
          <w:szCs w:val="20"/>
          <w:color w:val="auto"/>
        </w:rPr>
      </w:pPr>
    </w:p>
    <w:p>
      <w:pPr>
        <w:ind w:right="7600" w:firstLine="8"/>
        <w:spacing w:after="0" w:line="440" w:lineRule="auto"/>
        <w:tabs>
          <w:tab w:leader="none" w:pos="2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Accounting</w:t>
      </w:r>
    </w:p>
    <w:p>
      <w:pPr>
        <w:spacing w:after="0" w:line="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of the Plan are presented on the accrual basis of accounting in accordance with accounting principles generally accepted in the United States of America (“U.S.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Actual results could differ from those estimates and changes in those estimates are recorded when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RANGE RESOURCES CORPORATION 401(k)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140" w:lineRule="exact"/>
        <w:rPr>
          <w:sz w:val="20"/>
          <w:szCs w:val="20"/>
          <w:color w:val="auto"/>
        </w:rPr>
      </w:pPr>
    </w:p>
    <w:p>
      <w:pPr>
        <w:ind w:right="6660" w:firstLine="8"/>
        <w:spacing w:after="0" w:line="440" w:lineRule="auto"/>
        <w:tabs>
          <w:tab w:leader="none" w:pos="2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 Investment Valuation and Income Recognition</w:t>
      </w:r>
    </w:p>
    <w:p>
      <w:pPr>
        <w:spacing w:after="0" w:line="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Plan’s investments are stated at fair value. Quoted market prices are used to value investments in the mutual funds, self-directed brokerage investments, and Range Resources Corporation common stock and there are no redemption restrictions on these investments. The Plan’s interest in the common collective trusts is valued based on information reported by the investment manager using the audited financial statements of the common collective trusts at year-end. These investments are subject to market or credit risks customarily associated with equity investments.</w:t>
      </w:r>
    </w:p>
    <w:p>
      <w:pPr>
        <w:spacing w:after="0" w:line="12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 Dividends are recorded on the ex-dividend date. Net realized gains or losses from security transactions are reported on the average historical cost method.</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Unrealized appreciation or depreciation of investments represents the increase or decrease in market value during the year. Investment contracts held by a defined-contribution plan are required to be reported at fair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75"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Contributions from participants and the Company are accrued in the period in which they are deducted in accordance with salary deferral agreements and as they become obligations of the Company, as determined by the plan administrator.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Expenses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Employees of the Company, who may also be participants in the Plan, perform certain administrative functions with no compensation from the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costs of the Plan are paid by the participants and are not reflected in the accompanying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receivable from participants are valued at the unpaid principal balance plus any accrued but unpaid interest.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Investments</w:t>
      </w:r>
    </w:p>
    <w:p>
      <w:pPr>
        <w:spacing w:after="0" w:line="175"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Participants may direct their 401(k) salary and/or bonus deferrals and employer contributions to be invested into any of the investment options offered by the Plan, including Range Resources Corporation common stock. Additionally, upon election, an employee can use a self-directed brokerage account where monies are invested in permitted investments, such as mutual funds and ETFs, and investment decisions are directed by the employee. Employees are permitted to a maximum investment in the self-directed brokerage account of 100% of their 401(k) investment balance.</w:t>
      </w:r>
    </w:p>
    <w:p>
      <w:pPr>
        <w:spacing w:after="0" w:line="12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Common stock of the Company represented approximately 5% and 6% of net assets available for benefits as of December 31, 2025 and 2024, respectively.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RANGE RESOURCES CORPORATION 401(k) PLAN</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Tax Status</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Effective January 1, 2021, the Company adopted a T. Rowe Price prototype plan which has been approved by the Internal Revenue Service ("IRS") for use by employers as a qualified plan. Once qualified, the Plan is required to operate in conformity with the Code to maintain its qualification. Management believes the Plan is being operated in compliance with the applicable requirements of the Code and, therefore, believes that the Plan is qualified and the related trust is tax exempt.</w:t>
      </w:r>
    </w:p>
    <w:p>
      <w:pPr>
        <w:spacing w:after="0" w:line="12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(or asset) if the Plan has taken an uncertain position that more likely than not would not be sustained upon examination by the IRS. The Company has analyzed the tax positions taken by the Plan and has concluded that as of December 31, 2025, there were no uncertain tax positions taken. The Plan is subject to routine audits by taxing jurisdictions; however, there are currently no audits for any tax periods in progress.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Transactions with Related Parties and Parties-in-Interest</w:t>
      </w:r>
    </w:p>
    <w:p>
      <w:pPr>
        <w:spacing w:after="0" w:line="1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Party-in-interest transactions include those with fiduciaries or employees of the Plan, any person who provides services to the Plan, an employer whose employees are covered by the Plan, an employee organization whose members are covered by the Plan, a person who owns 50% or more of such an employer or employee organization, or relatives of such persons.</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Participants have the option to invest their salary and/or bonus deferrals into the Company’s common stock. In addition, the Plan invests in shares of mutual funds and common collective trusts managed by T. Rowe Price, which acts as Trustee for these investments as defined by the Plan. Transactions in such investments, as well as notes receivable from participants, qualify as parties-in-interest transactions, which are exempt from the prohibited transaction rules. The Plan paid certain expenses related to Plan operations and investment activity to various services providers. These transactions are party-in-interest transactions under ERISA.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Plan Termination</w:t>
      </w:r>
    </w:p>
    <w:p>
      <w:pPr>
        <w:spacing w:after="0" w:line="1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to terminate the Plan at any time, subject to the provisions of ERISA. In the event of such termination of the Plan, the net assets of the Plan would be distributed among the participants in accordance with ERISA, as the participants are already fully vested.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RANGE RESOURCES CORPORATION 401(k) PLAN</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Fair Value Measurements</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U.S. GAAP, fair value measurements are based upon inputs that market participants use in pricing an asset or liability, which are classified into two categories, observable inputs and unobservable inputs. Observable inputs represent market data obtained from independent sources, whereas unobservable inputs reflect a company’s own market assumptions, which are used if observable inputs are not reasonably available without undue cost and effort. These two types of inputs are further prioritized into the following fair value input hierarchy:</w:t>
      </w:r>
    </w:p>
    <w:p>
      <w:pPr>
        <w:spacing w:after="0" w:line="28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Level 1 –</w:t>
      </w:r>
      <w:r>
        <w:rPr>
          <w:sz w:val="20"/>
          <w:szCs w:val="20"/>
          <w:color w:val="auto"/>
        </w:rPr>
        <w:tab/>
      </w:r>
      <w:r>
        <w:rPr>
          <w:rFonts w:ascii="Times New Roman" w:cs="Times New Roman" w:eastAsia="Times New Roman" w:hAnsi="Times New Roman"/>
          <w:sz w:val="18"/>
          <w:szCs w:val="18"/>
          <w:color w:val="auto"/>
        </w:rPr>
        <w:t>Inputs are unadjusted, quoted prices in active markets for identical assets or liabilities as of the reporting date.</w:t>
      </w:r>
    </w:p>
    <w:p>
      <w:pPr>
        <w:spacing w:after="0" w:line="333" w:lineRule="exact"/>
        <w:rPr>
          <w:sz w:val="20"/>
          <w:szCs w:val="20"/>
          <w:color w:val="auto"/>
        </w:rPr>
      </w:pPr>
    </w:p>
    <w:p>
      <w:pPr>
        <w:ind w:left="1140" w:right="200" w:hanging="1133"/>
        <w:spacing w:after="0" w:line="25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Level 2 –</w:t>
      </w:r>
      <w:r>
        <w:rPr>
          <w:sz w:val="20"/>
          <w:szCs w:val="20"/>
          <w:color w:val="auto"/>
        </w:rPr>
        <w:tab/>
      </w:r>
      <w:r>
        <w:rPr>
          <w:rFonts w:ascii="Times New Roman" w:cs="Times New Roman" w:eastAsia="Times New Roman" w:hAnsi="Times New Roman"/>
          <w:sz w:val="18"/>
          <w:szCs w:val="18"/>
          <w:color w:val="auto"/>
        </w:rPr>
        <w:t>Pricing inputs are other than quoted prices in active markets included in Level 1, which are directly or indirectly observable as of the reporting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Where observable inputs are available, directly or indirectly, for substantially the full term of the asset or liability, the instrument is categorized in Level 2.</w:t>
      </w:r>
    </w:p>
    <w:p>
      <w:pPr>
        <w:spacing w:after="0" w:line="295" w:lineRule="exact"/>
        <w:rPr>
          <w:sz w:val="20"/>
          <w:szCs w:val="20"/>
          <w:color w:val="auto"/>
        </w:rPr>
      </w:pPr>
    </w:p>
    <w:p>
      <w:pPr>
        <w:ind w:left="1140" w:right="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Level 3 –</w:t>
      </w:r>
      <w:r>
        <w:rPr>
          <w:sz w:val="20"/>
          <w:szCs w:val="20"/>
          <w:color w:val="auto"/>
        </w:rPr>
        <w:tab/>
      </w:r>
      <w:r>
        <w:rPr>
          <w:rFonts w:ascii="Times New Roman" w:cs="Times New Roman" w:eastAsia="Times New Roman" w:hAnsi="Times New Roman"/>
          <w:sz w:val="18"/>
          <w:szCs w:val="18"/>
          <w:color w:val="auto"/>
        </w:rPr>
        <w:t>Pricing inputs include significant inputs that are generally less observable from objective sources. These inputs may be used with internally developed methodologies that result in management’s best estimate of fair value.</w:t>
      </w:r>
    </w:p>
    <w:p>
      <w:pPr>
        <w:spacing w:after="0" w:line="274"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Plan uses a market approach for fair value measurements and endeavors to use the best information available. Accordingly, valuation techniques that maximize the use of observable inputs are favored.</w:t>
      </w:r>
    </w:p>
    <w:p>
      <w:pPr>
        <w:spacing w:after="0" w:line="10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items are classified in their entirety based on the lowest priority level of input that is significant to the fair value measurement. The assessment of the significance of a particular input to the fair value measurement requires judgment and may affect the placement of assets and liabilities within the levels of the fair value hierarchy. Mutual funds in Level 1 are measured at fair value with a market approach using the published net asset values (“NAV”) of the shares held by the Plan at year-end. Range Resources Corporation common stock in Level 1 is exchange traded and measured at fair value with a market approach using the closing price. Self-directed brokerage in Level 1 is measured at fair value with a market approach using the published NAV of the mutual fund shares held by the Plan at year-end. For investments valued at NAV, there are no significant restrictions on redeeming these investments at NAV.</w:t>
      </w:r>
    </w:p>
    <w:p>
      <w:pPr>
        <w:spacing w:after="0" w:line="13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Investments in the common collective trusts during the 2025 plan year included the T. Rowe Price Retirement Funds, Prudential Total Return Bond, Putnam Stable Value Fund and MFS Growth Equity Fund. These investments consist of public or private investment vehicles valued using the NAV computed daily as of close of business each day by the trustee of the fund. The NAV is used as a practical expedient to estimate fair value and is based on the value of the underlying assets owned by the fund, then divided by the number of shares outstanding. Redemption is permitted daily with a required twelve-month notice period that is only applicable to the Plan, with no other restrictions. There are no unfunded commitments.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10" w:name="page11"/>
    <w:bookmarkEnd w:id="1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RANGE RESOURCES CORPORATION 401(k) PLAN</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Fair Value Measurements — 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fair value hierarchy table for investments measured at fair value, on a recurring basis: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Total Carrying Value as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gridSpan w:val="8"/>
          </w:tcPr>
          <w:p>
            <w:pPr>
              <w:ind w:left="780"/>
              <w:spacing w:after="0"/>
              <w:rPr>
                <w:sz w:val="20"/>
                <w:szCs w:val="20"/>
                <w:color w:val="auto"/>
              </w:rPr>
            </w:pPr>
            <w:r>
              <w:rPr>
                <w:rFonts w:ascii="Times New Roman" w:cs="Times New Roman" w:eastAsia="Times New Roman" w:hAnsi="Times New Roman"/>
                <w:sz w:val="14"/>
                <w:szCs w:val="14"/>
                <w:color w:val="auto"/>
              </w:rPr>
              <w:t>Fair Value Measurements at December 31, 2025 Using</w:t>
            </w: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ind w:right="84"/>
              <w:spacing w:after="0" w:line="119" w:lineRule="exact"/>
              <w:rPr>
                <w:sz w:val="20"/>
                <w:szCs w:val="20"/>
                <w:color w:val="auto"/>
              </w:rPr>
            </w:pPr>
            <w:r>
              <w:rPr>
                <w:rFonts w:ascii="Times New Roman" w:cs="Times New Roman" w:eastAsia="Times New Roman" w:hAnsi="Times New Roman"/>
                <w:sz w:val="13"/>
                <w:szCs w:val="13"/>
                <w:color w:val="auto"/>
              </w:rPr>
              <w:t>Quoted Prices in Active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right"/>
              <w:ind w:right="440"/>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340" w:type="dxa"/>
            <w:vAlign w:val="bottom"/>
          </w:tcPr>
          <w:p>
            <w:pPr>
              <w:spacing w:after="0"/>
              <w:rPr>
                <w:sz w:val="10"/>
                <w:szCs w:val="10"/>
                <w:color w:val="auto"/>
              </w:rPr>
            </w:pPr>
          </w:p>
        </w:tc>
        <w:tc>
          <w:tcPr>
            <w:tcW w:w="1040" w:type="dxa"/>
            <w:vAlign w:val="bottom"/>
          </w:tcPr>
          <w:p>
            <w:pPr>
              <w:jc w:val="center"/>
              <w:ind w:left="166"/>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of December 31,</w:t>
            </w:r>
          </w:p>
        </w:tc>
        <w:tc>
          <w:tcPr>
            <w:tcW w:w="24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Markets for Identical Assets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Observable Inputs</w:t>
            </w:r>
          </w:p>
        </w:tc>
        <w:tc>
          <w:tcPr>
            <w:tcW w:w="34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93"/>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99"/>
              </w:rPr>
              <w:t>2025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color w:val="auto"/>
              </w:rPr>
              <w:t>(Level 1)</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4"/>
                <w:szCs w:val="14"/>
                <w:color w:val="auto"/>
              </w:rPr>
              <w:t>(Level 3)</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79,481,443</w:t>
            </w:r>
          </w:p>
        </w:tc>
        <w:tc>
          <w:tcPr>
            <w:tcW w:w="2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79,481,443</w:t>
            </w:r>
          </w:p>
        </w:tc>
        <w:tc>
          <w:tcPr>
            <w:tcW w:w="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Range Resources Corporation common stock</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11,891,301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11,891,301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Self-directed brokerage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3,073,952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3,073,952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in the fair value hierarchy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94,446,696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94,446,696</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Common collective trusts measured at NAV*</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150,240,535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at fair value</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244,687,231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gridSpan w:val="8"/>
            <w:vMerge w:val="restart"/>
          </w:tcPr>
          <w:p>
            <w:pPr>
              <w:ind w:left="780"/>
              <w:spacing w:after="0"/>
              <w:rPr>
                <w:sz w:val="20"/>
                <w:szCs w:val="20"/>
                <w:color w:val="auto"/>
              </w:rPr>
            </w:pPr>
            <w:r>
              <w:rPr>
                <w:rFonts w:ascii="Times New Roman" w:cs="Times New Roman" w:eastAsia="Times New Roman" w:hAnsi="Times New Roman"/>
                <w:sz w:val="14"/>
                <w:szCs w:val="14"/>
                <w:color w:val="auto"/>
              </w:rPr>
              <w:t>Fair Value Measurements at December 31, 2024 Using</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Total Carrying Value as</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ind w:right="84"/>
              <w:spacing w:after="0" w:line="119" w:lineRule="exact"/>
              <w:rPr>
                <w:sz w:val="20"/>
                <w:szCs w:val="20"/>
                <w:color w:val="auto"/>
              </w:rPr>
            </w:pPr>
            <w:r>
              <w:rPr>
                <w:rFonts w:ascii="Times New Roman" w:cs="Times New Roman" w:eastAsia="Times New Roman" w:hAnsi="Times New Roman"/>
                <w:sz w:val="13"/>
                <w:szCs w:val="13"/>
                <w:color w:val="auto"/>
              </w:rPr>
              <w:t>Quoted Prices in Active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340" w:type="dxa"/>
            <w:vAlign w:val="bottom"/>
          </w:tcPr>
          <w:p>
            <w:pPr>
              <w:spacing w:after="0"/>
              <w:rPr>
                <w:sz w:val="10"/>
                <w:szCs w:val="10"/>
                <w:color w:val="auto"/>
              </w:rPr>
            </w:pPr>
          </w:p>
        </w:tc>
        <w:tc>
          <w:tcPr>
            <w:tcW w:w="1040" w:type="dxa"/>
            <w:vAlign w:val="bottom"/>
          </w:tcPr>
          <w:p>
            <w:pPr>
              <w:jc w:val="center"/>
              <w:ind w:left="166"/>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of December 31,</w:t>
            </w:r>
          </w:p>
        </w:tc>
        <w:tc>
          <w:tcPr>
            <w:tcW w:w="24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Markets for Identical Assets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Observable Inputs</w:t>
            </w:r>
          </w:p>
        </w:tc>
        <w:tc>
          <w:tcPr>
            <w:tcW w:w="34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93"/>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color w:val="auto"/>
              </w:rPr>
              <w:t>(Level 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(Level 2)</w:t>
            </w:r>
          </w:p>
        </w:tc>
        <w:tc>
          <w:tcPr>
            <w:tcW w:w="340" w:type="dxa"/>
            <w:vAlign w:val="bottom"/>
          </w:tcPr>
          <w:p>
            <w:pPr>
              <w:spacing w:after="0"/>
              <w:rPr>
                <w:sz w:val="16"/>
                <w:szCs w:val="16"/>
                <w:color w:val="auto"/>
              </w:rPr>
            </w:pPr>
          </w:p>
        </w:tc>
        <w:tc>
          <w:tcPr>
            <w:tcW w:w="104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4"/>
                <w:szCs w:val="14"/>
                <w:color w:val="auto"/>
              </w:rPr>
              <w:t>(Level 3)</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22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67,420,495</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67,420,495</w:t>
            </w:r>
          </w:p>
        </w:tc>
        <w:tc>
          <w:tcPr>
            <w:tcW w:w="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Range Resources Corporation common stock</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11,730,683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11,730,683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Self-directed brokerage</w:t>
            </w: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1,826,251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1,826,251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in the fair value hierarchy</w:t>
            </w:r>
          </w:p>
        </w:tc>
        <w:tc>
          <w:tcPr>
            <w:tcW w:w="2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80,977,429</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80,977,429</w:t>
            </w:r>
          </w:p>
        </w:tc>
        <w:tc>
          <w:tcPr>
            <w:tcW w:w="34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Common collective trusts measured at NAV*</w:t>
            </w: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129,861,740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at fair value</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210,839,169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*Certain investments that are measured at fair value using the NAV per share (or its equivalent) as a practical expedient have not been categorized in the fair value hierarchy. The fair value amounts presented in this table are intended to permit reconciliation of the fair value hierarchy to the amounts presented on the Statements of Net Assets Available for Benefits.</w:t>
      </w: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17"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RANGE RESOURCES CORPORATION 401(k)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Fair Value Measurements — continued</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investments for which fair value is measured using the NAV per share practical expedient as of December 31, 2025 and 2024. There are no participant redemption restrictions for these investments. The redemption notice period is applicable only to the Plan.</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81"/>
              <w:spacing w:after="0"/>
              <w:rPr>
                <w:sz w:val="20"/>
                <w:szCs w:val="20"/>
                <w:color w:val="auto"/>
              </w:rPr>
            </w:pPr>
            <w:r>
              <w:rPr>
                <w:rFonts w:ascii="Times New Roman" w:cs="Times New Roman" w:eastAsia="Times New Roman" w:hAnsi="Times New Roman"/>
                <w:sz w:val="14"/>
                <w:szCs w:val="14"/>
                <w:color w:val="auto"/>
              </w:rPr>
              <w:t>Fair Value as of</w:t>
            </w:r>
          </w:p>
        </w:tc>
        <w:tc>
          <w:tcPr>
            <w:tcW w:w="2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Unfunded Commitments</w:t>
            </w:r>
          </w:p>
        </w:tc>
        <w:tc>
          <w:tcPr>
            <w:tcW w:w="1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Redemption Frequency</w:t>
            </w: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Redemption Notice</w:t>
            </w:r>
          </w:p>
        </w:tc>
        <w:tc>
          <w:tcPr>
            <w:tcW w:w="0" w:type="dxa"/>
            <w:vAlign w:val="bottom"/>
          </w:tcPr>
          <w:p>
            <w:pPr>
              <w:spacing w:after="0"/>
              <w:rPr>
                <w:sz w:val="1"/>
                <w:szCs w:val="1"/>
                <w:color w:val="auto"/>
              </w:rPr>
            </w:pPr>
          </w:p>
        </w:tc>
      </w:tr>
      <w:tr>
        <w:trPr>
          <w:trHeight w:val="171"/>
        </w:trPr>
        <w:tc>
          <w:tcPr>
            <w:tcW w:w="4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MFS Growth Equity Fund</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rPr>
              <w:t>December 31, 2025</w:t>
            </w:r>
          </w:p>
        </w:tc>
        <w:tc>
          <w:tcPr>
            <w:tcW w:w="28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Period</w:t>
            </w:r>
          </w:p>
        </w:tc>
        <w:tc>
          <w:tcPr>
            <w:tcW w:w="0" w:type="dxa"/>
            <w:vAlign w:val="bottom"/>
          </w:tcPr>
          <w:p>
            <w:pPr>
              <w:spacing w:after="0"/>
              <w:rPr>
                <w:sz w:val="1"/>
                <w:szCs w:val="1"/>
                <w:color w:val="auto"/>
              </w:rPr>
            </w:pPr>
          </w:p>
        </w:tc>
      </w:tr>
      <w:tr>
        <w:trPr>
          <w:trHeight w:val="196"/>
        </w:trPr>
        <w:tc>
          <w:tcPr>
            <w:tcW w:w="45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15,860,116</w:t>
            </w:r>
          </w:p>
        </w:tc>
        <w:tc>
          <w:tcPr>
            <w:tcW w:w="2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w:t>
            </w:r>
          </w:p>
        </w:tc>
        <w:tc>
          <w:tcPr>
            <w:tcW w:w="1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Prudential Total Return Bond</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1,760,712</w:t>
            </w:r>
          </w:p>
        </w:tc>
        <w:tc>
          <w:tcPr>
            <w:tcW w:w="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Putnam Stable Value Fund</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6,579,492</w:t>
            </w:r>
          </w:p>
        </w:tc>
        <w:tc>
          <w:tcPr>
            <w:tcW w:w="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Retirement Funds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126,040,215</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Total common collective trusts measured at NAV</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150,240,535</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center"/>
              <w:ind w:right="81"/>
              <w:spacing w:after="0"/>
              <w:rPr>
                <w:sz w:val="20"/>
                <w:szCs w:val="20"/>
                <w:color w:val="auto"/>
              </w:rPr>
            </w:pPr>
            <w:r>
              <w:rPr>
                <w:rFonts w:ascii="Times New Roman" w:cs="Times New Roman" w:eastAsia="Times New Roman" w:hAnsi="Times New Roman"/>
                <w:sz w:val="14"/>
                <w:szCs w:val="14"/>
                <w:color w:val="auto"/>
              </w:rPr>
              <w:t>Fair Value as of</w:t>
            </w:r>
          </w:p>
        </w:tc>
        <w:tc>
          <w:tcPr>
            <w:tcW w:w="280" w:type="dxa"/>
            <w:vAlign w:val="bottom"/>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Unfunded Commitments</w:t>
            </w:r>
          </w:p>
        </w:tc>
        <w:tc>
          <w:tcPr>
            <w:tcW w:w="180" w:type="dxa"/>
            <w:vAlign w:val="bottom"/>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Redemption Frequency</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Redemption Notice</w:t>
            </w:r>
          </w:p>
        </w:tc>
        <w:tc>
          <w:tcPr>
            <w:tcW w:w="0" w:type="dxa"/>
            <w:vAlign w:val="bottom"/>
          </w:tcPr>
          <w:p>
            <w:pPr>
              <w:spacing w:after="0"/>
              <w:rPr>
                <w:sz w:val="1"/>
                <w:szCs w:val="1"/>
                <w:color w:val="auto"/>
              </w:rPr>
            </w:pPr>
          </w:p>
        </w:tc>
      </w:tr>
      <w:tr>
        <w:trPr>
          <w:trHeight w:val="171"/>
        </w:trPr>
        <w:tc>
          <w:tcPr>
            <w:tcW w:w="4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MFS Growth Equity Fund</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rPr>
              <w:t>December 31, 2024</w:t>
            </w:r>
          </w:p>
        </w:tc>
        <w:tc>
          <w:tcPr>
            <w:tcW w:w="28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Period</w:t>
            </w:r>
          </w:p>
        </w:tc>
        <w:tc>
          <w:tcPr>
            <w:tcW w:w="0" w:type="dxa"/>
            <w:vAlign w:val="bottom"/>
          </w:tcPr>
          <w:p>
            <w:pPr>
              <w:spacing w:after="0"/>
              <w:rPr>
                <w:sz w:val="1"/>
                <w:szCs w:val="1"/>
                <w:color w:val="auto"/>
              </w:rPr>
            </w:pPr>
          </w:p>
        </w:tc>
      </w:tr>
      <w:tr>
        <w:trPr>
          <w:trHeight w:val="196"/>
        </w:trPr>
        <w:tc>
          <w:tcPr>
            <w:tcW w:w="45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15,305,996</w:t>
            </w:r>
          </w:p>
        </w:tc>
        <w:tc>
          <w:tcPr>
            <w:tcW w:w="2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w:t>
            </w:r>
          </w:p>
        </w:tc>
        <w:tc>
          <w:tcPr>
            <w:tcW w:w="1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Prudential Total Return Bond</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1,783,623</w:t>
            </w:r>
          </w:p>
        </w:tc>
        <w:tc>
          <w:tcPr>
            <w:tcW w:w="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Putnam Stable Value Fund</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67,035</w:t>
            </w:r>
          </w:p>
        </w:tc>
        <w:tc>
          <w:tcPr>
            <w:tcW w:w="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Retirement Funds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104,033,166</w:t>
            </w:r>
          </w:p>
        </w:tc>
        <w:tc>
          <w:tcPr>
            <w:tcW w:w="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Stable Value Fund</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8,671,920</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Total common collective trusts measured at NAV</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129,861,740</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Risks and Uncertainties</w:t>
      </w:r>
    </w:p>
    <w:p>
      <w:pPr>
        <w:spacing w:after="0" w:line="1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including interest rate, market and credit risks. Due to the level of risk associated with certain investment securities, it is at least reasonably possible that changes in the value of investment securities will occur in the near term and that such changes could materially impact participants’ account balances and the amounts reported in the Statements of Net Assets Available for Benefits.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2" w:name="page13"/>
    <w:bookmarkEnd w:id="12"/>
    <w:p>
      <w:pPr>
        <w:ind w:left="3760"/>
        <w:spacing w:after="0"/>
        <w:rPr>
          <w:sz w:val="20"/>
          <w:szCs w:val="20"/>
          <w:color w:val="auto"/>
        </w:rPr>
      </w:pPr>
      <w:r>
        <w:rPr>
          <w:rFonts w:ascii="Times New Roman" w:cs="Times New Roman" w:eastAsia="Times New Roman" w:hAnsi="Times New Roman"/>
          <w:sz w:val="18"/>
          <w:szCs w:val="18"/>
          <w:b w:val="1"/>
          <w:bCs w:val="1"/>
          <w:color w:val="auto"/>
        </w:rPr>
        <w:t>RANGE RESOURCES CORPORATION 401(k) PLAN</w:t>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FORM 5500, SCHEDULE H, LINE 4i, SCHEDULE OF ASSETS (HELD AT END OF YEAR)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8"/>
          <w:szCs w:val="18"/>
          <w:b w:val="1"/>
          <w:bCs w:val="1"/>
          <w:color w:val="auto"/>
        </w:rPr>
        <w:t>EIN: 34-1312571</w:t>
      </w:r>
    </w:p>
    <w:p>
      <w:pPr>
        <w:spacing w:after="0" w:line="31"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8"/>
          <w:szCs w:val="18"/>
          <w:b w:val="1"/>
          <w:bCs w:val="1"/>
          <w:color w:val="auto"/>
        </w:rPr>
        <w:t>Plan: 002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4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Identity of Issuer,</w:t>
            </w:r>
          </w:p>
        </w:tc>
        <w:tc>
          <w:tcPr>
            <w:tcW w:w="14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Investment, including</w:t>
            </w:r>
          </w:p>
        </w:tc>
        <w:tc>
          <w:tcPr>
            <w:tcW w:w="100" w:type="dxa"/>
            <w:vAlign w:val="bottom"/>
          </w:tcPr>
          <w:p>
            <w:pPr>
              <w:spacing w:after="0"/>
              <w:rPr>
                <w:sz w:val="17"/>
                <w:szCs w:val="17"/>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Borrower or</w:t>
            </w:r>
          </w:p>
        </w:tc>
        <w:tc>
          <w:tcPr>
            <w:tcW w:w="14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 Rate of Interest,</w:t>
            </w:r>
          </w:p>
        </w:tc>
        <w:tc>
          <w:tcPr>
            <w:tcW w:w="100" w:type="dxa"/>
            <w:vAlign w:val="bottom"/>
          </w:tcPr>
          <w:p>
            <w:pPr>
              <w:spacing w:after="0"/>
              <w:rPr>
                <w:sz w:val="17"/>
                <w:szCs w:val="17"/>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0" w:type="dxa"/>
            <w:vAlign w:val="bottom"/>
          </w:tcPr>
          <w:p>
            <w:pPr>
              <w:spacing w:after="0"/>
              <w:rPr>
                <w:sz w:val="1"/>
                <w:szCs w:val="1"/>
                <w:color w:val="auto"/>
              </w:rPr>
            </w:pPr>
          </w:p>
        </w:tc>
      </w:tr>
      <w:tr>
        <w:trPr>
          <w:trHeight w:val="239"/>
        </w:trPr>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(a)</w:t>
            </w:r>
          </w:p>
        </w:tc>
        <w:tc>
          <w:tcPr>
            <w:tcW w:w="28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Similar Party</w:t>
            </w:r>
          </w:p>
        </w:tc>
        <w:tc>
          <w:tcPr>
            <w:tcW w:w="14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Collateral, Par or Maturity Value</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89"/>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2050 Fund</w:t>
            </w:r>
          </w:p>
        </w:tc>
        <w:tc>
          <w:tcPr>
            <w:tcW w:w="100" w:type="dxa"/>
            <w:vAlign w:val="bottom"/>
          </w:tcPr>
          <w:p>
            <w:pPr>
              <w:spacing w:after="0"/>
              <w:rPr>
                <w:sz w:val="16"/>
                <w:szCs w:val="16"/>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29,017,261</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Vanguard</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Institutional Index</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22,931,428</w:t>
            </w:r>
          </w:p>
        </w:tc>
        <w:tc>
          <w:tcPr>
            <w:tcW w:w="0" w:type="dxa"/>
            <w:vAlign w:val="bottom"/>
          </w:tcPr>
          <w:p>
            <w:pPr>
              <w:spacing w:after="0"/>
              <w:rPr>
                <w:sz w:val="1"/>
                <w:szCs w:val="1"/>
                <w:color w:val="auto"/>
              </w:rPr>
            </w:pPr>
          </w:p>
        </w:tc>
      </w:tr>
      <w:tr>
        <w:trPr>
          <w:trHeight w:val="201"/>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2040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20,774,545</w:t>
            </w:r>
          </w:p>
        </w:tc>
        <w:tc>
          <w:tcPr>
            <w:tcW w:w="0" w:type="dxa"/>
            <w:vAlign w:val="bottom"/>
          </w:tcPr>
          <w:p>
            <w:pPr>
              <w:spacing w:after="0"/>
              <w:rPr>
                <w:sz w:val="1"/>
                <w:szCs w:val="1"/>
                <w:color w:val="auto"/>
              </w:rPr>
            </w:pPr>
          </w:p>
        </w:tc>
      </w:tr>
      <w:tr>
        <w:trPr>
          <w:trHeight w:val="20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2030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19,686,929</w:t>
            </w:r>
          </w:p>
        </w:tc>
        <w:tc>
          <w:tcPr>
            <w:tcW w:w="0" w:type="dxa"/>
            <w:vAlign w:val="bottom"/>
          </w:tcPr>
          <w:p>
            <w:pPr>
              <w:spacing w:after="0"/>
              <w:rPr>
                <w:sz w:val="1"/>
                <w:szCs w:val="1"/>
                <w:color w:val="auto"/>
              </w:rPr>
            </w:pPr>
          </w:p>
        </w:tc>
      </w:tr>
      <w:tr>
        <w:trPr>
          <w:trHeight w:val="204"/>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2045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18,580,947</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MFS</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Growth 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15,860,116</w:t>
            </w:r>
          </w:p>
        </w:tc>
        <w:tc>
          <w:tcPr>
            <w:tcW w:w="0" w:type="dxa"/>
            <w:vAlign w:val="bottom"/>
          </w:tcPr>
          <w:p>
            <w:pPr>
              <w:spacing w:after="0"/>
              <w:rPr>
                <w:sz w:val="1"/>
                <w:szCs w:val="1"/>
                <w:color w:val="auto"/>
              </w:rPr>
            </w:pPr>
          </w:p>
        </w:tc>
      </w:tr>
      <w:tr>
        <w:trPr>
          <w:trHeight w:val="201"/>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2055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15,176,943</w:t>
            </w:r>
          </w:p>
        </w:tc>
        <w:tc>
          <w:tcPr>
            <w:tcW w:w="0" w:type="dxa"/>
            <w:vAlign w:val="bottom"/>
          </w:tcPr>
          <w:p>
            <w:pPr>
              <w:spacing w:after="0"/>
              <w:rPr>
                <w:sz w:val="1"/>
                <w:szCs w:val="1"/>
                <w:color w:val="auto"/>
              </w:rPr>
            </w:pPr>
          </w:p>
        </w:tc>
      </w:tr>
      <w:tr>
        <w:trPr>
          <w:trHeight w:val="204"/>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Range Resources Corporation</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11,891,301</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Vanguard</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Equity Income</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8,990,983</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2035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8,377,762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Putnam</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Stable Value 15</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6,579,492</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MFS</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Diversification R6</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5,796,236</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2025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5,307,353</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Janus Henderson</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Enterprise Fund Class N</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3,901,331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Vanguard</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Mid Cap Index Admiral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3,573,235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John Hancock</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Disciplined Value Mid Cap - R6</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3,484,050</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Vanguard</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Total International Stock Index Admiral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3,346,189</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Vanguard</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Treasury Money Market</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3,142,145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Vanguard</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Small Cap Index Admiral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3,052,912</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JPMorgan</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Undiscovered Managers Behavioral Value Fund R6</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2,879,743</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2060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2,744,740</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Vanguard</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Total Bond Index Admiral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2,631,212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Blackrock</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Global Allocation Fund - Institutional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2,597,417</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Pimco</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Income Institutional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2,552,462</w:t>
            </w:r>
          </w:p>
        </w:tc>
        <w:tc>
          <w:tcPr>
            <w:tcW w:w="0" w:type="dxa"/>
            <w:vAlign w:val="bottom"/>
          </w:tcPr>
          <w:p>
            <w:pPr>
              <w:spacing w:after="0"/>
              <w:rPr>
                <w:sz w:val="1"/>
                <w:szCs w:val="1"/>
                <w:color w:val="auto"/>
              </w:rPr>
            </w:pPr>
          </w:p>
        </w:tc>
      </w:tr>
      <w:tr>
        <w:trPr>
          <w:trHeight w:val="200"/>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QM U.S. Small-Cap Growth Equity</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2,129,311</w:t>
            </w:r>
          </w:p>
        </w:tc>
        <w:tc>
          <w:tcPr>
            <w:tcW w:w="0" w:type="dxa"/>
            <w:vAlign w:val="bottom"/>
          </w:tcPr>
          <w:p>
            <w:pPr>
              <w:spacing w:after="0"/>
              <w:rPr>
                <w:sz w:val="1"/>
                <w:szCs w:val="1"/>
                <w:color w:val="auto"/>
              </w:rPr>
            </w:pPr>
          </w:p>
        </w:tc>
      </w:tr>
      <w:tr>
        <w:trPr>
          <w:trHeight w:val="20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2015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2,122,547</w:t>
            </w:r>
          </w:p>
        </w:tc>
        <w:tc>
          <w:tcPr>
            <w:tcW w:w="0" w:type="dxa"/>
            <w:vAlign w:val="bottom"/>
          </w:tcPr>
          <w:p>
            <w:pPr>
              <w:spacing w:after="0"/>
              <w:rPr>
                <w:sz w:val="1"/>
                <w:szCs w:val="1"/>
                <w:color w:val="auto"/>
              </w:rPr>
            </w:pPr>
          </w:p>
        </w:tc>
      </w:tr>
      <w:tr>
        <w:trPr>
          <w:trHeight w:val="205"/>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2020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1,943,269</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Prudential</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Total Return Bond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1,760,712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Goldman Sachs</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Emerging Markets Equity Insights Fund International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1,445,593</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Pimco</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Real Return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1,340,455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Deutsche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Real Estate Securities - Institutional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1,317,188</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BNY Mellon</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Natural Resources Fund Y</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1,301,476</w:t>
            </w:r>
          </w:p>
        </w:tc>
        <w:tc>
          <w:tcPr>
            <w:tcW w:w="0" w:type="dxa"/>
            <w:vAlign w:val="bottom"/>
          </w:tcPr>
          <w:p>
            <w:pPr>
              <w:spacing w:after="0"/>
              <w:rPr>
                <w:sz w:val="1"/>
                <w:szCs w:val="1"/>
                <w:color w:val="auto"/>
              </w:rPr>
            </w:pPr>
          </w:p>
        </w:tc>
      </w:tr>
      <w:tr>
        <w:trPr>
          <w:trHeight w:val="200"/>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2065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1,295,112</w:t>
            </w:r>
          </w:p>
        </w:tc>
        <w:tc>
          <w:tcPr>
            <w:tcW w:w="0" w:type="dxa"/>
            <w:vAlign w:val="bottom"/>
          </w:tcPr>
          <w:p>
            <w:pPr>
              <w:spacing w:after="0"/>
              <w:rPr>
                <w:sz w:val="1"/>
                <w:szCs w:val="1"/>
                <w:color w:val="auto"/>
              </w:rPr>
            </w:pPr>
          </w:p>
        </w:tc>
      </w:tr>
      <w:tr>
        <w:trPr>
          <w:trHeight w:val="205"/>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Discovery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1,218,215</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Vanguard</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REIT Index Fund Admiral Shares</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1,020,007</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Balanced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973,759</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Pimco</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Bond (USD Hedged) - Institutional</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810,560</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 Rowe Price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Retirement 2010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39,048</w:t>
            </w:r>
          </w:p>
        </w:tc>
        <w:tc>
          <w:tcPr>
            <w:tcW w:w="0" w:type="dxa"/>
            <w:vAlign w:val="bottom"/>
          </w:tcPr>
          <w:p>
            <w:pPr>
              <w:spacing w:after="0"/>
              <w:rPr>
                <w:sz w:val="1"/>
                <w:szCs w:val="1"/>
                <w:color w:val="auto"/>
              </w:rPr>
            </w:pPr>
          </w:p>
        </w:tc>
      </w:tr>
      <w:tr>
        <w:trPr>
          <w:trHeight w:val="20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Vanguard</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Federal Money Market Fund</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19,295</w:t>
            </w:r>
          </w:p>
        </w:tc>
        <w:tc>
          <w:tcPr>
            <w:tcW w:w="0" w:type="dxa"/>
            <w:vAlign w:val="bottom"/>
          </w:tcPr>
          <w:p>
            <w:pPr>
              <w:spacing w:after="0"/>
              <w:rPr>
                <w:sz w:val="1"/>
                <w:szCs w:val="1"/>
                <w:color w:val="auto"/>
              </w:rPr>
            </w:pPr>
          </w:p>
        </w:tc>
      </w:tr>
      <w:tr>
        <w:trPr>
          <w:trHeight w:val="200"/>
        </w:trPr>
        <w:tc>
          <w:tcPr>
            <w:tcW w:w="380" w:type="dxa"/>
            <w:vAlign w:val="bottom"/>
            <w:vMerge w:val="continue"/>
          </w:tcPr>
          <w:p>
            <w:pPr>
              <w:spacing w:after="0"/>
              <w:rPr>
                <w:sz w:val="17"/>
                <w:szCs w:val="17"/>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Self-directed brokerage</w:t>
            </w:r>
          </w:p>
        </w:tc>
        <w:tc>
          <w:tcPr>
            <w:tcW w:w="1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Various permitted investments</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3,073,952</w:t>
            </w:r>
          </w:p>
        </w:tc>
        <w:tc>
          <w:tcPr>
            <w:tcW w:w="0" w:type="dxa"/>
            <w:vAlign w:val="bottom"/>
          </w:tcPr>
          <w:p>
            <w:pPr>
              <w:spacing w:after="0"/>
              <w:rPr>
                <w:sz w:val="1"/>
                <w:szCs w:val="1"/>
                <w:color w:val="auto"/>
              </w:rPr>
            </w:pPr>
          </w:p>
        </w:tc>
      </w:tr>
      <w:tr>
        <w:trPr>
          <w:trHeight w:val="212"/>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Participant loans</w:t>
            </w:r>
          </w:p>
        </w:tc>
        <w:tc>
          <w:tcPr>
            <w:tcW w:w="1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5.25 % - 10.50% ; 1 - 5 years</w:t>
            </w:r>
          </w:p>
        </w:tc>
        <w:tc>
          <w:tcPr>
            <w:tcW w:w="80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1,806,308</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246,493,539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517"/>
        <w:spacing w:after="0"/>
        <w:tabs>
          <w:tab w:leader="none" w:pos="66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party-in-interest as defined by ERISA</w:t>
      </w:r>
    </w:p>
    <w:p>
      <w:pPr>
        <w:spacing w:after="0" w:line="13" w:lineRule="exact"/>
        <w:rPr>
          <w:sz w:val="20"/>
          <w:szCs w:val="20"/>
          <w:color w:val="auto"/>
        </w:rPr>
      </w:pPr>
    </w:p>
    <w:p>
      <w:pPr>
        <w:ind w:left="660" w:hanging="557"/>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not necessary due to participant-directed investments</w:t>
      </w:r>
    </w:p>
    <w:p>
      <w:pPr>
        <w:spacing w:after="0" w:line="18" w:lineRule="exact"/>
        <w:rPr>
          <w:rFonts w:ascii="Times New Roman" w:cs="Times New Roman" w:eastAsia="Times New Roman" w:hAnsi="Times New Roman"/>
          <w:sz w:val="16"/>
          <w:szCs w:val="16"/>
          <w:color w:val="auto"/>
        </w:rPr>
      </w:pPr>
    </w:p>
    <w:p>
      <w:pPr>
        <w:ind w:left="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***Offered through Charles Schwab</w:t>
      </w:r>
    </w:p>
    <w:p>
      <w:pPr>
        <w:spacing w:after="0" w:line="2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22"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3"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 has duly caused this annual report to be signed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by the undersigned hereunto duly authorized.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RANGE RESOURCES CORPORATION</w:t>
            </w:r>
          </w:p>
        </w:tc>
      </w:tr>
      <w:tr>
        <w:trPr>
          <w:trHeight w:val="238"/>
        </w:trPr>
        <w:tc>
          <w:tcPr>
            <w:tcW w:w="6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401(K) PLAN</w:t>
            </w:r>
          </w:p>
        </w:tc>
      </w:tr>
      <w:tr>
        <w:trPr>
          <w:trHeight w:val="4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June 11, 2026</w:t>
            </w:r>
          </w:p>
        </w:tc>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ASHLEY S. KAVANAUGH</w:t>
            </w:r>
          </w:p>
        </w:tc>
      </w:tr>
      <w:tr>
        <w:trPr>
          <w:trHeight w:val="187"/>
        </w:trPr>
        <w:tc>
          <w:tcPr>
            <w:tcW w:w="6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58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Ashley S. Kavanaugh</w:t>
            </w:r>
          </w:p>
        </w:tc>
      </w:tr>
      <w:tr>
        <w:trPr>
          <w:trHeight w:val="238"/>
        </w:trPr>
        <w:tc>
          <w:tcPr>
            <w:tcW w:w="6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Vice President, Controller and Principal Accounting Officer</w:t>
            </w:r>
          </w:p>
        </w:tc>
      </w:tr>
      <w:tr>
        <w:trPr>
          <w:trHeight w:val="473"/>
        </w:trPr>
        <w:tc>
          <w:tcPr>
            <w:tcW w:w="6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F-13</w:t>
            </w:r>
          </w:p>
        </w:tc>
      </w:tr>
      <w:tr>
        <w:trPr>
          <w:trHeight w:val="763"/>
        </w:trPr>
        <w:tc>
          <w:tcPr>
            <w:tcW w:w="6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940" w:type="dxa"/>
            <w:vAlign w:val="bottom"/>
            <w:gridSpan w:val="4"/>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8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23*</w:t>
            </w:r>
          </w:p>
        </w:tc>
        <w:tc>
          <w:tcPr>
            <w:tcW w:w="4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540" w:type="dxa"/>
            <w:vAlign w:val="bottom"/>
            <w:gridSpan w:val="3"/>
          </w:tcPr>
          <w:p>
            <w:pPr>
              <w:spacing w:after="0"/>
              <w:rPr>
                <w:sz w:val="24"/>
                <w:szCs w:val="24"/>
                <w:color w:val="auto"/>
              </w:rPr>
            </w:pPr>
          </w:p>
        </w:tc>
      </w:tr>
      <w:tr>
        <w:trPr>
          <w:trHeight w:val="412"/>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December 31, 2025 Annual Report of Form 11-K, pursuant to Section 906 of the Sarbanes-Oxley Act of 2002, by the</w:t>
            </w:r>
          </w:p>
        </w:tc>
      </w:tr>
      <w:tr>
        <w:trPr>
          <w:trHeight w:val="196"/>
        </w:trPr>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6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of the Plan</w:t>
            </w:r>
          </w:p>
        </w:tc>
        <w:tc>
          <w:tcPr>
            <w:tcW w:w="2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294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gridSpan w:val="4"/>
          </w:tcPr>
          <w:p>
            <w:pPr>
              <w:spacing w:after="0" w:line="20" w:lineRule="exact"/>
              <w:rPr>
                <w:sz w:val="1"/>
                <w:szCs w:val="1"/>
                <w:color w:val="auto"/>
              </w:rPr>
            </w:pPr>
          </w:p>
        </w:tc>
      </w:tr>
      <w:tr>
        <w:trPr>
          <w:trHeight w:val="434"/>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 tags are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32"/>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r>
        <w:trPr>
          <w:trHeight w:val="432"/>
        </w:trPr>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104*</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16"/>
        </w:trPr>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426"/>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*Filed herewith</w:t>
            </w:r>
          </w:p>
        </w:tc>
        <w:tc>
          <w:tcPr>
            <w:tcW w:w="2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940" w:type="dxa"/>
            <w:vAlign w:val="bottom"/>
            <w:gridSpan w:val="4"/>
          </w:tcPr>
          <w:p>
            <w:pPr>
              <w:jc w:val="center"/>
              <w:ind w:right="4280"/>
              <w:spacing w:after="0"/>
              <w:rPr>
                <w:sz w:val="20"/>
                <w:szCs w:val="20"/>
                <w:color w:val="auto"/>
              </w:rPr>
            </w:pPr>
            <w:r>
              <w:rPr>
                <w:rFonts w:ascii="Times New Roman" w:cs="Times New Roman" w:eastAsia="Times New Roman" w:hAnsi="Times New Roman"/>
                <w:sz w:val="18"/>
                <w:szCs w:val="18"/>
                <w:color w:val="auto"/>
                <w:w w:val="99"/>
              </w:rPr>
              <w:t>F-14</w:t>
            </w:r>
          </w:p>
        </w:tc>
      </w:tr>
      <w:tr>
        <w:trPr>
          <w:trHeight w:val="763"/>
        </w:trPr>
        <w:tc>
          <w:tcPr>
            <w:tcW w:w="6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2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333-44821 and 333-69905 on Form S-8 of Range Resources Corporation of our report dated June 11, 2026, with respect to the statements of net assets available for benefits of the Range Resources Corporation 401(k) Plan as of December 31, 2025 and 2024, the related statements of changes in net assets available for benefits for the years then ended, and the related supplemental schedule of Form 5500, Schedule H, Line 4i - Schedule of Assets (Held at End of Year) as of December 31, 2025, which report appears in the December 31, 2025, annual report on Form 11-K of the Range Resources Corporation 401(k) Plan for the year ended December 31, 2025.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Whitley Penn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 Worth,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 w:name="page17"/>
    <w:bookmarkEnd w:id="16"/>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 OF PERIODIC FINANCIAL REPORTS</w:t>
      </w:r>
    </w:p>
    <w:p>
      <w:pPr>
        <w:spacing w:after="0" w:line="200" w:lineRule="exact"/>
        <w:rPr>
          <w:sz w:val="20"/>
          <w:szCs w:val="20"/>
          <w:color w:val="auto"/>
        </w:rPr>
      </w:pPr>
    </w:p>
    <w:p>
      <w:pPr>
        <w:spacing w:after="0" w:line="2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undersigned officer of Range Resources Corporation or its subsidiaries, does hereby certify, pursuant to 18 U.S.C. Section 1350, as adopted pursuant to Section 906 of the Sarbanes-Oxley Act of 2002, that:</w:t>
      </w:r>
    </w:p>
    <w:p>
      <w:pPr>
        <w:spacing w:after="0" w:line="162" w:lineRule="exact"/>
        <w:rPr>
          <w:sz w:val="20"/>
          <w:szCs w:val="20"/>
          <w:color w:val="auto"/>
        </w:rPr>
      </w:pPr>
    </w:p>
    <w:p>
      <w:pPr>
        <w:jc w:val="both"/>
        <w:ind w:left="1140" w:hanging="758"/>
        <w:spacing w:after="0" w:line="266"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11-K for the fiscal year ended December 31, 2025 (the “Periodic Report”) of the Range Resources Corporation 401 (K) Plan (the “Plan”) which this statement accompanies fully complies with the requirements of Section 13 (a) or 15 (d) of the Securities Exchange Act of 1934 (15 U.S.C. 78m or 78o (d)); and</w:t>
      </w:r>
    </w:p>
    <w:p>
      <w:pPr>
        <w:spacing w:after="0" w:line="175" w:lineRule="exact"/>
        <w:rPr>
          <w:rFonts w:ascii="Times New Roman" w:cs="Times New Roman" w:eastAsia="Times New Roman" w:hAnsi="Times New Roman"/>
          <w:sz w:val="18"/>
          <w:szCs w:val="18"/>
          <w:color w:val="auto"/>
        </w:rPr>
      </w:pPr>
    </w:p>
    <w:p>
      <w:pPr>
        <w:ind w:left="1140" w:hanging="758"/>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Periodic Report fairly presents, in all material respects, the financial condition and results of operations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860" w:val="left"/>
          <w:tab w:leader="none" w:pos="5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11, 2026</w:t>
      </w:r>
      <w:r>
        <w:rPr>
          <w:sz w:val="20"/>
          <w:szCs w:val="20"/>
          <w:color w:val="auto"/>
        </w:rPr>
        <w:tab/>
      </w:r>
      <w:r>
        <w:rPr>
          <w:rFonts w:ascii="Times New Roman" w:cs="Times New Roman" w:eastAsia="Times New Roman" w:hAnsi="Times New Roman"/>
          <w:sz w:val="18"/>
          <w:szCs w:val="18"/>
          <w:color w:val="auto"/>
        </w:rPr>
        <w:t>/s/ ASHLEY S. KAVANAUGH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728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Ashley S. Kavanaugh</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Vice President, Controller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1."/>
      <w:numFmt w:val="upperLetter"/>
      <w:start w:val="2"/>
    </w:lvl>
  </w:abstractNum>
  <w:abstractNum w:abstractNumId="5">
    <w:nsid w:val="79E2A9E3"/>
    <w:multiLevelType w:val="hybridMultilevel"/>
    <w:lvl w:ilvl="0">
      <w:lvlJc w:val="left"/>
      <w:lvlText w:val="%1."/>
      <w:numFmt w:val="upperLetter"/>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2026-06-11T15:34:34Z</dcterms:created>
  <dcterms:modified xsi:type="dcterms:W3CDTF">2026-06-11T15:34:34Z</dcterms:modified>
</cp:coreProperties>
</file>