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rc-20260721.htm"/>
      <w:bookmarkStart w:id="1" w:name="ksrrc2026072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Date of Report (Date of earliest event reported): July 22, 2026 (July 21, 2026)</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RANGE RESOURCES CORPORATION</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6783" w:type="dxa"/>
        <w:jc w:val="left"/>
        <w:tblInd w:w="0" w:type="dxa"/>
        <w:tblLayout w:type="fixed"/>
        <w:tblCellMar>
          <w:top w:w="28" w:type="dxa"/>
          <w:left w:w="28" w:type="dxa"/>
          <w:bottom w:w="28" w:type="dxa"/>
          <w:right w:w="28" w:type="dxa"/>
        </w:tblCellMar>
      </w:tblPr>
      <w:tblGrid>
        <w:gridCol w:w="3256"/>
        <w:gridCol w:w="2041"/>
        <w:gridCol w:w="1486"/>
      </w:tblGrid>
      <w:tr>
        <w:trPr/>
        <w:tc>
          <w:tcPr>
            <w:tcW w:w="325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001-12209</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34-1312571</w:t>
            </w:r>
          </w:p>
        </w:tc>
      </w:tr>
      <w:tr>
        <w:trPr/>
        <w:tc>
          <w:tcPr>
            <w:tcW w:w="32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100 Throckmorton Street, Suite 1200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Fort Worth, Texas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76102</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(817) 870-2601</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165" w:type="dxa"/>
        <w:jc w:val="left"/>
        <w:tblInd w:w="0" w:type="dxa"/>
        <w:tblLayout w:type="fixed"/>
        <w:tblCellMar>
          <w:top w:w="28" w:type="dxa"/>
          <w:left w:w="28" w:type="dxa"/>
          <w:bottom w:w="28" w:type="dxa"/>
          <w:right w:w="28" w:type="dxa"/>
        </w:tblCellMar>
      </w:tblPr>
      <w:tblGrid>
        <w:gridCol w:w="2731"/>
        <w:gridCol w:w="146"/>
        <w:gridCol w:w="826"/>
        <w:gridCol w:w="146"/>
        <w:gridCol w:w="331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RRC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July 21, 2026 Range Resources Corporation issued a press release announcing its second quarter 2026 results. A copy of this press release is being furnished as an exhibit to this report on Form 8-K.</w:t>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Exhibits:</w:t>
      </w:r>
    </w:p>
    <w:p>
      <w:pPr>
        <w:pStyle w:val="TextBody"/>
        <w:bidi w:val="0"/>
        <w:spacing w:before="120" w:after="283"/>
        <w:jc w:val="both"/>
        <w:rPr/>
      </w:pPr>
      <w:hyperlink w:anchor="rrc-ex99_1.htm">
        <w:r>
          <w:rPr>
            <w:rStyle w:val="InternetLink"/>
            <w:rFonts w:ascii="Times New Roman" w:hAnsi="Times New Roman"/>
            <w:color w:val="0000FF"/>
            <w:sz w:val="20"/>
            <w:u w:val="single"/>
          </w:rPr>
          <w:t>99.1 Press Release dated July 21, 2026</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104 Cover Page Interactive Data File (embedded within the Inline XBRL document)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p>
      <w:pPr>
        <w:pStyle w:val="TextBody"/>
        <w:bidi w:val="0"/>
        <w:jc w:val="left"/>
        <w:rPr/>
      </w:pPr>
      <w:r>
        <w:rPr/>
        <w:t> </w:t>
      </w:r>
    </w:p>
    <w:tbl>
      <w:tblPr>
        <w:tblW w:w="4967" w:type="dxa"/>
        <w:jc w:val="left"/>
        <w:tblInd w:w="0" w:type="dxa"/>
        <w:tblLayout w:type="fixed"/>
        <w:tblCellMar>
          <w:top w:w="28" w:type="dxa"/>
          <w:left w:w="28" w:type="dxa"/>
          <w:bottom w:w="28" w:type="dxa"/>
          <w:right w:w="28" w:type="dxa"/>
        </w:tblCellMar>
      </w:tblPr>
      <w:tblGrid>
        <w:gridCol w:w="466"/>
        <w:gridCol w:w="4501"/>
      </w:tblGrid>
      <w:tr>
        <w:trPr/>
        <w:tc>
          <w:tcPr>
            <w:tcW w:w="466"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49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 CORPORATION</w:t>
            </w:r>
          </w:p>
        </w:tc>
      </w:tr>
      <w:tr>
        <w:trPr/>
        <w:tc>
          <w:tcPr>
            <w:tcW w:w="49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45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S. Scucchi</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S. Scucchi</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and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22, 2026</w:t>
      </w:r>
    </w:p>
    <w:p>
      <w:pPr>
        <w:pStyle w:val="TextBody"/>
        <w:bidi w:val="0"/>
        <w:spacing w:before="100" w:after="283"/>
        <w:jc w:val="left"/>
        <w:rPr/>
      </w:pPr>
      <w:r>
        <w:rPr/>
        <w:t> </w:t>
      </w:r>
    </w:p>
    <w:p>
      <w:pPr>
        <w:pStyle w:val="TextBody"/>
        <w:bidi w:val="0"/>
        <w:spacing w:before="10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u w:val="single"/>
        </w:rPr>
      </w:pPr>
      <w:bookmarkStart w:id="2" w:name="rrc-ex99_1.htm"/>
      <w:bookmarkStart w:id="3" w:name="ksrrcex99_1"/>
      <w:bookmarkEnd w:id="2"/>
      <w:bookmarkEnd w:id="3"/>
      <w:r>
        <w:rPr>
          <w:rFonts w:ascii="Times New Roman" w:hAnsi="Times New Roman"/>
          <w:color w:val="000000"/>
          <w:sz w:val="20"/>
          <w:u w:val="single"/>
        </w:rPr>
        <w:t>Exhibit 99.1</w:t>
      </w:r>
      <w:r>
        <w:br w:type="page"/>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NEWS RELEASE</w:t>
      </w:r>
    </w:p>
    <w:p>
      <w:pPr>
        <w:pStyle w:val="TextBody"/>
        <w:bidi w:val="0"/>
        <w:jc w:val="center"/>
        <w:rPr>
          <w:rFonts w:ascii="Times New Roman" w:hAnsi="Times New Roman"/>
          <w:b/>
          <w:color w:val="000000"/>
          <w:sz w:val="22"/>
        </w:rPr>
      </w:pPr>
      <w:r>
        <w:rPr>
          <w:rFonts w:ascii="Times New Roman" w:hAnsi="Times New Roman"/>
          <w:b/>
          <w:color w:val="000000"/>
          <w:sz w:val="22"/>
        </w:rPr>
        <w:t>Range Announces Second Quarter 2026 Results</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2"/>
        </w:rPr>
        <w:t xml:space="preserve">FORT WORTH, TEXAS, July 21, 2026RANGE RESOURCES CORPORATION (NYSE: RRC) </w:t>
      </w:r>
      <w:r>
        <w:rPr>
          <w:rFonts w:ascii="Times New Roman" w:hAnsi="Times New Roman"/>
          <w:color w:val="000000"/>
          <w:sz w:val="22"/>
        </w:rPr>
        <w:t>today announced its second quarter 2026 financial results.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Second Quarter 2026 Highlights –</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Cash flow from operating activities of $235 million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Cash flow from operations, before working capital changes, of $333 million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Repurchased $78 million of shares and paid $24 million in dividends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Realized price, including hedges, was $3.53 per mcfe – a $0.64 premium versus NYMEX natural gas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Pre-hedge NGL realizations of $29.10 per barrel, a premium of $3.49 over the Mont Belvieu equivalent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Natural gas differential, including basis hedging, of ($0.47) per mcf to NYMEX</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Production averaged 2.30 Bcfe per day, approximately 67% natural gas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Record completion efficiency with 1,900 stages completed by two crews and single-day record of 22 hours pumping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Record drilling efficiency of nearly two miles drilled in a single day</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Capital spending was $222 million, approximately 33% of the annual 2026 budget</w:t>
      </w:r>
    </w:p>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Commenting on the results, Dennis Degner, the Company’s CEO said, “Range’s year-to-date results reflect continued progress on our multi-year growth plan, which was supported by record drilling and completion efficiencies in the most recent quarter. Range’s strategic access to international markets drove a record NGL premium for the quarter, bolstering margins. The resulting strong free cash flow funded shareholder returns through dividends and share repurchases while advancing our operational momentum.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Looking beyond our announced development plans through 2027, we expect steadily increasing demand for natural gas will require additional supply from Appalachia, as the lowest-cost, longest duration natural gas basin in the United States. Range’s strong financial position and operational momentum provide us with the flexibility to shape our capital reinvestment plans to meet this demand as it materializes, while prioritizing returns of capital to shareholders. We believe Range’s extensive Marcellus inventory, diverse marketing access and advantaged full-cycle cost structure provide the necessary foundation for supplying both domestic and international energy demand growth while consistently delivering returns to shareholders for decades to come.”</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2"/>
          <w:u w:val="single"/>
        </w:rPr>
        <w:t>Financial Discussion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Except for generally accepted accounting principles (“GAAP”) reported amounts, specific expense categories exclude non-cash impairments, unrealized mark-to-market adjustment on derivatives, non-cash stock compensation and other items shown separately on the attached tables. “Unit costs” as used in this release are composed of direct operating, transportation, gathering, processing and compression, taxes other than income, general and administrative, interest and depletion, depreciation and amortization costs divided by production. See “Non-GAAP Financial Measures” for a definition of non-GAAP financial measures and the accompanying tables that reconcile each non-GAAP measure to its most directly comparable GAAP financial measure.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2"/>
        </w:rPr>
      </w:pPr>
      <w:r>
        <w:rPr>
          <w:rFonts w:ascii="Times New Roman" w:hAnsi="Times New Roman"/>
          <w:b/>
          <w:i/>
          <w:color w:val="000000"/>
          <w:sz w:val="22"/>
        </w:rPr>
        <w:t>Second Quarter 2026 Results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GAAP revenues and other income for second quarter 2026 totaled $834 million, GAAP net cash provided from operating activities (including changes in working capital) was $235 million, and GAAP net income was $195 million ($0.83 per diluted share). Second quarter earnings results include a $74 million mark-to-market derivative gain due to decreases in commodity prices.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Cash flow from operations before changes in working capital, a non-GAAP measure, was $333 million. Adjusted net income comparable to analysts’ estimates, a non-GAAP measure, was $186 million ($0.79 per diluted share) in second quarter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following table details Range’s second quarter 2026 unit costs per mcfe</w:t>
      </w:r>
      <w:r>
        <w:rPr>
          <w:rFonts w:ascii="Times New Roman" w:hAnsi="Times New Roman"/>
          <w:color w:val="000000"/>
          <w:sz w:val="15"/>
        </w:rPr>
        <w:t>(a)</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tbl>
      <w:tblPr>
        <w:tblW w:w="8343" w:type="dxa"/>
        <w:jc w:val="left"/>
        <w:tblInd w:w="0" w:type="dxa"/>
        <w:tblLayout w:type="fixed"/>
        <w:tblCellMar>
          <w:top w:w="28" w:type="dxa"/>
          <w:left w:w="28" w:type="dxa"/>
          <w:bottom w:w="28" w:type="dxa"/>
          <w:right w:w="28" w:type="dxa"/>
        </w:tblCellMar>
      </w:tblPr>
      <w:tblGrid>
        <w:gridCol w:w="3376"/>
        <w:gridCol w:w="146"/>
        <w:gridCol w:w="1111"/>
        <w:gridCol w:w="146"/>
        <w:gridCol w:w="1111"/>
        <w:gridCol w:w="146"/>
        <w:gridCol w:w="146"/>
        <w:gridCol w:w="216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Expenses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2"/>
              </w:rPr>
            </w:pPr>
            <w:r>
              <w:rPr>
                <w:rFonts w:ascii="Times New Roman" w:hAnsi="Times New Roman"/>
                <w:b/>
                <w:color w:val="000000"/>
                <w:sz w:val="22"/>
              </w:rPr>
              <w:t>2Q 2026</w:t>
            </w:r>
            <w:r>
              <w:rPr>
                <w:rFonts w:ascii="Times New Roman" w:hAnsi="Times New Roman"/>
                <w:color w:val="000000"/>
                <w:sz w:val="22"/>
              </w:rPr>
              <w:t xml:space="preserve"> </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(per mcfe)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2Q 2025</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(per mcfe)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22"/>
              </w:rPr>
              <w:t>Increase (Decrease)</w:t>
            </w:r>
          </w:p>
        </w:tc>
      </w:tr>
      <w:tr>
        <w:trPr/>
        <w:tc>
          <w:tcPr>
            <w:tcW w:w="3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Direct operating</w:t>
            </w:r>
            <w:r>
              <w:rPr>
                <w:rFonts w:ascii="Times New Roman" w:hAnsi="Times New Roman"/>
                <w:color w:val="000000"/>
                <w:sz w:val="15"/>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18%</w:t>
            </w:r>
          </w:p>
        </w:tc>
      </w:tr>
      <w:tr>
        <w:trPr/>
        <w:tc>
          <w:tcPr>
            <w:tcW w:w="33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Transportation, gathering,</w:t>
            </w:r>
          </w:p>
          <w:p>
            <w:pPr>
              <w:pStyle w:val="TableContents"/>
              <w:bidi w:val="0"/>
              <w:spacing w:before="0" w:after="283"/>
              <w:jc w:val="left"/>
              <w:rPr/>
            </w:pPr>
            <w:r>
              <w:rPr>
                <w:color w:val="000000"/>
              </w:rPr>
              <w:t>    </w:t>
            </w:r>
            <w:r>
              <w:rPr>
                <w:rFonts w:ascii="Times New Roman" w:hAnsi="Times New Roman"/>
                <w:color w:val="000000"/>
                <w:sz w:val="22"/>
              </w:rPr>
              <w:t>processing and compression</w:t>
            </w:r>
            <w:r>
              <w:rPr>
                <w:rFonts w:ascii="Times New Roman" w:hAnsi="Times New Roman"/>
                <w:color w:val="000000"/>
                <w:sz w:val="15"/>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1.52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1.52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0%</w:t>
            </w:r>
          </w:p>
        </w:tc>
      </w:tr>
      <w:tr>
        <w:trPr/>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Taxes other than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0.03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0.04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(25)%</w:t>
            </w:r>
          </w:p>
        </w:tc>
      </w:tr>
      <w:tr>
        <w:trPr/>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General and administrative</w:t>
            </w:r>
            <w:r>
              <w:rPr>
                <w:rFonts w:ascii="Times New Roman" w:hAnsi="Times New Roman"/>
                <w:color w:val="000000"/>
                <w:sz w:val="15"/>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13%</w:t>
            </w:r>
          </w:p>
        </w:tc>
      </w:tr>
      <w:tr>
        <w:trPr/>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Interest expense</w:t>
            </w:r>
            <w:r>
              <w:rPr>
                <w:rFonts w:ascii="Times New Roman" w:hAnsi="Times New Roman"/>
                <w:color w:val="000000"/>
                <w:sz w:val="15"/>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0.07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0.13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(46)%</w:t>
            </w:r>
          </w:p>
        </w:tc>
      </w:tr>
      <w:tr>
        <w:trPr/>
        <w:tc>
          <w:tcPr>
            <w:tcW w:w="3376"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2"/>
              </w:rPr>
              <w:t>Total cash unit costs</w:t>
            </w:r>
            <w:r>
              <w:rPr>
                <w:rFonts w:ascii="Times New Roman" w:hAnsi="Times New Roman"/>
                <w:color w:val="000000"/>
                <w:sz w:val="15"/>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1.92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1.97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(3)%</w:t>
            </w:r>
          </w:p>
        </w:tc>
      </w:tr>
      <w:tr>
        <w:trPr/>
        <w:tc>
          <w:tcPr>
            <w:tcW w:w="33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Depletion, depreciation and</w:t>
            </w:r>
          </w:p>
          <w:p>
            <w:pPr>
              <w:pStyle w:val="TableContents"/>
              <w:bidi w:val="0"/>
              <w:spacing w:before="0" w:after="283"/>
              <w:jc w:val="left"/>
              <w:rPr>
                <w:color w:val="000000"/>
              </w:rPr>
            </w:pPr>
            <w:r>
              <w:rPr>
                <w:color w:val="000000"/>
              </w:rPr>
              <w:t>    </w:t>
            </w:r>
            <w:r>
              <w:rPr>
                <w:rFonts w:ascii="Times New Roman" w:hAnsi="Times New Roman"/>
                <w:color w:val="000000"/>
                <w:sz w:val="22"/>
              </w:rPr>
              <w:t>amortization (DD&amp;A)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0.45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0.46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(2)%</w:t>
            </w:r>
          </w:p>
        </w:tc>
      </w:tr>
      <w:tr>
        <w:trPr/>
        <w:tc>
          <w:tcPr>
            <w:tcW w:w="3376"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2"/>
              </w:rPr>
              <w:t>Total unit costs plus DD&amp;A</w:t>
            </w:r>
            <w:r>
              <w:rPr>
                <w:rFonts w:ascii="Times New Roman" w:hAnsi="Times New Roman"/>
                <w:color w:val="000000"/>
                <w:sz w:val="15"/>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$ 2.37</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111"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$ 2.43</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bottom w:val="doub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(2)%</w:t>
            </w:r>
          </w:p>
        </w:tc>
      </w:tr>
    </w:tbl>
    <w:p>
      <w:pPr>
        <w:pStyle w:val="TextBody"/>
        <w:bidi w:val="0"/>
        <w:jc w:val="both"/>
        <w:rPr/>
      </w:pPr>
      <w:r>
        <w:rPr/>
        <w:t> </w:t>
      </w:r>
    </w:p>
    <w:p>
      <w:pPr>
        <w:pStyle w:val="TextBody"/>
        <w:bidi w:val="0"/>
        <w:spacing w:before="0" w:after="0"/>
        <w:jc w:val="both"/>
        <w:rPr>
          <w:rFonts w:ascii="Times New Roman" w:hAnsi="Times New Roman"/>
          <w:i/>
          <w:color w:val="000000"/>
          <w:sz w:val="22"/>
        </w:rPr>
      </w:pPr>
      <w:r>
        <w:rPr>
          <w:rFonts w:ascii="Times New Roman" w:hAnsi="Times New Roman"/>
          <w:i/>
          <w:color w:val="000000"/>
          <w:sz w:val="22"/>
        </w:rPr>
        <w:t>(a)</w:t>
      </w:r>
    </w:p>
    <w:p>
      <w:pPr>
        <w:pStyle w:val="TextBody"/>
        <w:bidi w:val="0"/>
        <w:spacing w:before="0" w:after="0"/>
        <w:jc w:val="both"/>
        <w:rPr>
          <w:rFonts w:ascii="Times New Roman" w:hAnsi="Times New Roman"/>
          <w:i/>
          <w:color w:val="000000"/>
          <w:sz w:val="22"/>
        </w:rPr>
      </w:pPr>
      <w:r>
        <w:rPr>
          <w:rFonts w:ascii="Times New Roman" w:hAnsi="Times New Roman"/>
          <w:i/>
          <w:color w:val="000000"/>
          <w:sz w:val="22"/>
        </w:rPr>
        <w:t>Excludes stock-based compensation, one-time settlements, and amortization of debt issuance costs.</w:t>
      </w:r>
    </w:p>
    <w:p>
      <w:pPr>
        <w:pStyle w:val="TextBody"/>
        <w:bidi w:val="0"/>
        <w:spacing w:before="0" w:after="0"/>
        <w:jc w:val="both"/>
        <w:rPr>
          <w:rFonts w:ascii="Times New Roman" w:hAnsi="Times New Roman"/>
          <w:i/>
          <w:color w:val="000000"/>
          <w:sz w:val="22"/>
        </w:rPr>
      </w:pPr>
      <w:r>
        <w:rPr>
          <w:rFonts w:ascii="Times New Roman" w:hAnsi="Times New Roman"/>
          <w:i/>
          <w:color w:val="000000"/>
          <w:sz w:val="22"/>
        </w:rPr>
        <w:t>(b)</w:t>
      </w:r>
    </w:p>
    <w:p>
      <w:pPr>
        <w:pStyle w:val="TextBody"/>
        <w:bidi w:val="0"/>
        <w:jc w:val="both"/>
        <w:rPr>
          <w:rFonts w:ascii="Times New Roman" w:hAnsi="Times New Roman"/>
          <w:i/>
          <w:color w:val="000000"/>
          <w:sz w:val="22"/>
        </w:rPr>
      </w:pPr>
      <w:r>
        <w:rPr>
          <w:rFonts w:ascii="Times New Roman" w:hAnsi="Times New Roman"/>
          <w:i/>
          <w:color w:val="000000"/>
          <w:sz w:val="22"/>
        </w:rPr>
        <w:t>Totals may not add due to rounding.</w:t>
      </w:r>
    </w:p>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The following table details Range’s average production and realized pricing for second quarter 2026</w:t>
      </w:r>
      <w:r>
        <w:rPr>
          <w:rFonts w:ascii="Times New Roman" w:hAnsi="Times New Roman"/>
          <w:color w:val="000000"/>
          <w:sz w:val="15"/>
        </w:rPr>
        <w:t>(a)</w:t>
      </w:r>
      <w:r>
        <w:rPr>
          <w:rFonts w:ascii="Times New Roman" w:hAnsi="Times New Roman"/>
          <w:color w:val="000000"/>
          <w:sz w:val="22"/>
        </w:rPr>
        <w:t>:</w:t>
      </w:r>
    </w:p>
    <w:p>
      <w:pPr>
        <w:pStyle w:val="TextBody"/>
        <w:bidi w:val="0"/>
        <w:jc w:val="both"/>
        <w:rPr/>
      </w:pPr>
      <w:r>
        <w:rPr/>
        <w:t> </w:t>
      </w:r>
    </w:p>
    <w:tbl>
      <w:tblPr>
        <w:tblW w:w="9394" w:type="dxa"/>
        <w:jc w:val="left"/>
        <w:tblInd w:w="0" w:type="dxa"/>
        <w:tblLayout w:type="fixed"/>
        <w:tblCellMar>
          <w:top w:w="28" w:type="dxa"/>
          <w:left w:w="28" w:type="dxa"/>
          <w:bottom w:w="28" w:type="dxa"/>
          <w:right w:w="28" w:type="dxa"/>
        </w:tblCellMar>
      </w:tblPr>
      <w:tblGrid>
        <w:gridCol w:w="3811"/>
        <w:gridCol w:w="146"/>
        <w:gridCol w:w="1321"/>
        <w:gridCol w:w="146"/>
        <w:gridCol w:w="916"/>
        <w:gridCol w:w="146"/>
        <w:gridCol w:w="886"/>
        <w:gridCol w:w="146"/>
        <w:gridCol w:w="187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583" w:type="dxa"/>
            <w:gridSpan w:val="8"/>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2Q26 Production &amp; Realized Pricing</w:t>
            </w:r>
          </w:p>
        </w:tc>
      </w:tr>
      <w:tr>
        <w:trPr/>
        <w:tc>
          <w:tcPr>
            <w:tcW w:w="3811"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Natural Gas</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(mcf)</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Oil (bbl)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NGLs</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(bbl)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76"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Natural Gas</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Equivalent (mcfe)</w:t>
            </w:r>
          </w:p>
        </w:tc>
      </w:tr>
      <w:tr>
        <w:trPr/>
        <w:tc>
          <w:tcPr>
            <w:tcW w:w="381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6"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3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production per day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1,548,871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6,475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118,113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2,296,399</w:t>
            </w:r>
          </w:p>
        </w:tc>
      </w:tr>
      <w:tr>
        <w:trPr/>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Average NYMEX price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$ 2.89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$ 93.58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$ 25.61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Differential, including basis hedging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(0.47)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(9.62)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3.49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Realized prices before NYMEX hedges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83.96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3.37</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Settled NYMEX hedges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0.36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(17.50)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(0.67)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0.16</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Average realized prices after hedges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$ 2.79</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$ 66.45</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$ 28.44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1876"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$ 3.53</w:t>
            </w:r>
          </w:p>
        </w:tc>
      </w:tr>
    </w:tbl>
    <w:p>
      <w:pPr>
        <w:pStyle w:val="TextBody"/>
        <w:bidi w:val="0"/>
        <w:jc w:val="both"/>
        <w:rPr/>
      </w:pPr>
      <w:r>
        <w:rPr/>
        <w:t> </w:t>
      </w:r>
    </w:p>
    <w:p>
      <w:pPr>
        <w:pStyle w:val="TextBody"/>
        <w:bidi w:val="0"/>
        <w:spacing w:before="0" w:after="0"/>
        <w:jc w:val="both"/>
        <w:rPr>
          <w:rFonts w:ascii="Times New Roman" w:hAnsi="Times New Roman"/>
          <w:i/>
          <w:color w:val="000000"/>
          <w:sz w:val="22"/>
        </w:rPr>
      </w:pPr>
      <w:r>
        <w:rPr>
          <w:rFonts w:ascii="Times New Roman" w:hAnsi="Times New Roman"/>
          <w:i/>
          <w:color w:val="000000"/>
          <w:sz w:val="22"/>
        </w:rPr>
        <w:t>(a)</w:t>
      </w:r>
    </w:p>
    <w:p>
      <w:pPr>
        <w:pStyle w:val="TextBody"/>
        <w:bidi w:val="0"/>
        <w:jc w:val="both"/>
        <w:rPr>
          <w:rFonts w:ascii="Times New Roman" w:hAnsi="Times New Roman"/>
          <w:i/>
          <w:color w:val="000000"/>
          <w:sz w:val="22"/>
        </w:rPr>
      </w:pPr>
      <w:r>
        <w:rPr>
          <w:rFonts w:ascii="Times New Roman" w:hAnsi="Times New Roman"/>
          <w:i/>
          <w:color w:val="000000"/>
          <w:sz w:val="22"/>
        </w:rPr>
        <w:t>Totals may not add due to rounding.</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Second quarter 2026 natural gas, NGLs and oil price realizations (including the impact of cash-settled hedges and derivative settlements) averaged $3.53 per mcfe.</w:t>
      </w:r>
      <w:r>
        <w:rPr>
          <w:rFonts w:ascii="Times New Roman" w:hAnsi="Times New Roman"/>
          <w:color w:val="000000"/>
          <w:sz w:val="20"/>
        </w:rPr>
        <w:t xml:space="preserve"> </w:t>
      </w:r>
    </w:p>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average natural gas price, including the impact of basis hedging, was $2.42 per mcf, or a ($0.47) per mcf differential to NYMEX. Range is improving its 2026 natural gas differential to average ($0.35) to ($0.40) relative to NYMEX.</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Range’s pre-hedge NGL price during the quarter was $29.10 per barrel, approximately $3.49 above the Mont Belvieu weighted equivalent. Range is improving its full-year NGL price guidance to a range of +$2.00 to +$2.50 relative to a Mont Belvieu equivalent barrel.</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Crude oil and condensate price realizations, before realized hedges, averaged $83.96 per barrel, or $9.62 below WTI (West Texas Intermediate). Range is improving its 2026 condensate differential to average ($10.00) to ($12.00) relative to WTI.</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2"/>
        </w:rPr>
        <w:t>Financial Position and Repurchase Activity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As of June 30, 2026, Range had net debt outstanding of approximately $881 million, consisting of $500 million of senior notes and $381 million on the credit facility.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During the quarter, Range repurchased 2,000,000 shares at an average price of approximately $39.18 per share. As of June 30,</w:t>
      </w:r>
      <w:r>
        <w:rPr>
          <w:rFonts w:ascii="Times New Roman" w:hAnsi="Times New Roman"/>
          <w:color w:val="000000"/>
          <w:sz w:val="20"/>
        </w:rPr>
        <w:t xml:space="preserve"> </w:t>
      </w:r>
      <w:r>
        <w:rPr>
          <w:rFonts w:ascii="Times New Roman" w:hAnsi="Times New Roman"/>
          <w:color w:val="000000"/>
          <w:sz w:val="22"/>
        </w:rPr>
        <w:t>2026, the Company had $1.4 billion of availability under the share repurchase program.</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b/>
          <w:i/>
          <w:color w:val="000000"/>
          <w:sz w:val="22"/>
        </w:rPr>
      </w:pPr>
      <w:r>
        <w:rPr>
          <w:rFonts w:ascii="Times New Roman" w:hAnsi="Times New Roman"/>
          <w:b/>
          <w:i/>
          <w:color w:val="000000"/>
          <w:sz w:val="22"/>
        </w:rPr>
        <w:t>Capital Expenditures and Operational Activity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Second quarter 2026 drilling and completion expenditures were $204 million. In addition, during the quarter, approximately $8 million was invested in acreage, and $10 million was invested in infrastructure, pneumatic upgrades, and other investments. Second quarter capital spending represented approximately 33% of Range’s total capital budget in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During the quarter, Range drilled ~190,000 lateral feet across 11 wells, while turning to sales ~300,000 feet across 21 wells. The table below summarizes expected 2026 activity plans regarding the number of wells to sales in each area.</w:t>
      </w:r>
      <w:r>
        <w:rPr>
          <w:rFonts w:ascii="Times New Roman" w:hAnsi="Times New Roman"/>
          <w:color w:val="000000"/>
          <w:sz w:val="20"/>
        </w:rPr>
        <w:t xml:space="preserve"> </w:t>
      </w:r>
    </w:p>
    <w:p>
      <w:pPr>
        <w:pStyle w:val="TextBody"/>
        <w:bidi w:val="0"/>
        <w:jc w:val="both"/>
        <w:rPr/>
      </w:pPr>
      <w:r>
        <w:rPr/>
        <w:t> </w:t>
      </w:r>
    </w:p>
    <w:tbl>
      <w:tblPr>
        <w:tblW w:w="7143" w:type="dxa"/>
        <w:jc w:val="left"/>
        <w:tblInd w:w="0" w:type="dxa"/>
        <w:tblLayout w:type="fixed"/>
        <w:tblCellMar>
          <w:top w:w="28" w:type="dxa"/>
          <w:left w:w="28" w:type="dxa"/>
          <w:bottom w:w="28" w:type="dxa"/>
          <w:right w:w="28" w:type="dxa"/>
        </w:tblCellMar>
      </w:tblPr>
      <w:tblGrid>
        <w:gridCol w:w="1726"/>
        <w:gridCol w:w="146"/>
        <w:gridCol w:w="146"/>
        <w:gridCol w:w="1036"/>
        <w:gridCol w:w="146"/>
        <w:gridCol w:w="1126"/>
        <w:gridCol w:w="146"/>
        <w:gridCol w:w="267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Wells TIL</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1H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Remaining</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6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Planned Wells TIL in 2026</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Liquids Rich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Dry Gas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Appalachia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671"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68</w:t>
            </w:r>
          </w:p>
        </w:tc>
      </w:tr>
    </w:tbl>
    <w:p>
      <w:pPr>
        <w:pStyle w:val="TextBody"/>
        <w:bidi w:val="0"/>
        <w:jc w:val="both"/>
        <w:rPr/>
      </w:pPr>
      <w:r>
        <w:rPr/>
        <w:t> </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Guidance – 2026</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2"/>
        </w:rPr>
        <w:t>Capital &amp; Production Guidance</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Range’s 2026 all-in capital budget is $650 million - $700 million. Annual production is expected to be approximately 2.35 - 2.40 Bcfe per day in 2026. Liquids are expected to be over 30% of production.</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2"/>
        </w:rPr>
        <w:t>Full Year 2026 Expense Guidance</w:t>
      </w:r>
      <w:r>
        <w:rPr>
          <w:rFonts w:ascii="Times New Roman" w:hAnsi="Times New Roman"/>
          <w:color w:val="000000"/>
          <w:sz w:val="20"/>
        </w:rPr>
        <w:t xml:space="preserve"> </w:t>
      </w:r>
    </w:p>
    <w:tbl>
      <w:tblPr>
        <w:tblW w:w="9778" w:type="dxa"/>
        <w:jc w:val="left"/>
        <w:tblInd w:w="0" w:type="dxa"/>
        <w:tblLayout w:type="fixed"/>
        <w:tblCellMar>
          <w:top w:w="28" w:type="dxa"/>
          <w:left w:w="28" w:type="dxa"/>
          <w:bottom w:w="28" w:type="dxa"/>
          <w:right w:w="28" w:type="dxa"/>
        </w:tblCellMar>
      </w:tblPr>
      <w:tblGrid>
        <w:gridCol w:w="7171"/>
        <w:gridCol w:w="2266"/>
        <w:gridCol w:w="341"/>
      </w:tblGrid>
      <w:tr>
        <w:trPr/>
        <w:tc>
          <w:tcPr>
            <w:tcW w:w="717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717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Direct operating expense:</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$0.12 - $0.13 per mcfe</w:t>
            </w:r>
          </w:p>
        </w:tc>
        <w:tc>
          <w:tcPr>
            <w:tcW w:w="34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7171" w:type="dxa"/>
            <w:tcBorders/>
            <w:tcMar>
              <w:top w:w="0" w:type="dxa"/>
              <w:left w:w="0" w:type="dxa"/>
              <w:bottom w:w="0" w:type="dxa"/>
              <w:right w:w="0" w:type="dxa"/>
            </w:tcMar>
            <w:vAlign w:val="center"/>
          </w:tcPr>
          <w:p>
            <w:pPr>
              <w:pStyle w:val="TableContents"/>
              <w:bidi w:val="0"/>
              <w:spacing w:before="0" w:after="283"/>
              <w:ind w:left="0" w:right="0" w:firstLine="150"/>
              <w:jc w:val="left"/>
              <w:rPr>
                <w:rFonts w:ascii="Times New Roman" w:hAnsi="Times New Roman"/>
                <w:color w:val="000000"/>
                <w:sz w:val="22"/>
              </w:rPr>
            </w:pPr>
            <w:r>
              <w:rPr>
                <w:rFonts w:ascii="Times New Roman" w:hAnsi="Times New Roman"/>
                <w:color w:val="000000"/>
                <w:sz w:val="22"/>
              </w:rPr>
              <w:t xml:space="preserve">Transportation, gathering, processing and compression expense (GP&amp;T):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$1.55 - $1.60 per mcfe</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Taxes other than income:</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$0.03 - $0.04 per mcfe</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Exploration expense:</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$22 - $28 million</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G&amp;A expense:</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$0.17 - $0.18 per mcfe</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Interest expense:</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$0.07 - $0.09 per mcfe</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DD&amp;A expense:</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$0.45 - $0.46 per mcfe</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brokered gas marketing expense:</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$8 - $12 million</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2"/>
          <w:u w:val="single"/>
        </w:rPr>
        <w:t>Updated</w:t>
      </w:r>
      <w:r>
        <w:rPr>
          <w:rFonts w:ascii="Times New Roman" w:hAnsi="Times New Roman"/>
          <w:color w:val="000000"/>
          <w:sz w:val="20"/>
        </w:rPr>
        <w:t xml:space="preserve"> </w:t>
      </w:r>
      <w:r>
        <w:rPr>
          <w:rFonts w:ascii="Times New Roman" w:hAnsi="Times New Roman"/>
          <w:b/>
          <w:i/>
          <w:color w:val="000000"/>
          <w:sz w:val="22"/>
        </w:rPr>
        <w:t>Full Year 2026 Price Guidance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Based on recent market indications, Range expects to average the following price differentials for its production in 2026.</w:t>
      </w:r>
      <w:r>
        <w:rPr>
          <w:rFonts w:ascii="Times New Roman" w:hAnsi="Times New Roman"/>
          <w:color w:val="000000"/>
          <w:sz w:val="20"/>
        </w:rPr>
        <w:t xml:space="preserve"> </w:t>
      </w:r>
    </w:p>
    <w:p>
      <w:pPr>
        <w:pStyle w:val="TextBody"/>
        <w:bidi w:val="0"/>
        <w:jc w:val="left"/>
        <w:rPr/>
      </w:pPr>
      <w:r>
        <w:rPr/>
        <w:t> </w:t>
      </w:r>
    </w:p>
    <w:tbl>
      <w:tblPr>
        <w:tblW w:w="10045" w:type="dxa"/>
        <w:jc w:val="left"/>
        <w:tblInd w:w="0" w:type="dxa"/>
        <w:tblLayout w:type="fixed"/>
        <w:tblCellMar>
          <w:top w:w="28" w:type="dxa"/>
          <w:left w:w="28" w:type="dxa"/>
          <w:bottom w:w="28" w:type="dxa"/>
          <w:right w:w="28" w:type="dxa"/>
        </w:tblCellMar>
      </w:tblPr>
      <w:tblGrid>
        <w:gridCol w:w="3106"/>
        <w:gridCol w:w="3301"/>
        <w:gridCol w:w="146"/>
        <w:gridCol w:w="3301"/>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Updated Guidance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Prior Guidance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FY 2026 Natural Gas:</w:t>
            </w:r>
            <w:r>
              <w:rPr>
                <w:rFonts w:ascii="Times New Roman" w:hAnsi="Times New Roman"/>
                <w:color w:val="000000"/>
                <w:sz w:val="15"/>
              </w:rPr>
              <w:t>(1)</w:t>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NYMEX minus $0.35 to $0.40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NYMEX minus $0.35 to $0.45</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FY 2026 Natural Gas Liquids:</w:t>
            </w:r>
            <w:r>
              <w:rPr>
                <w:rFonts w:ascii="Times New Roman" w:hAnsi="Times New Roman"/>
                <w:color w:val="000000"/>
                <w:sz w:val="15"/>
              </w:rPr>
              <w:t>(2)</w:t>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MB plus $2.00 to $2.50 per barrel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MB plus $1.25 to $2.50 per barrel</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FY 2026 Oil/Condensate:</w:t>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WTI minus $10.00 to $12.00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WTI minus $10.00 to $14.00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(1) Includes basis hedging</w:t>
      </w:r>
    </w:p>
    <w:p>
      <w:pPr>
        <w:pStyle w:val="TextBody"/>
        <w:bidi w:val="0"/>
        <w:jc w:val="left"/>
        <w:rPr>
          <w:rFonts w:ascii="Times New Roman" w:hAnsi="Times New Roman"/>
          <w:i/>
          <w:color w:val="000000"/>
          <w:sz w:val="22"/>
        </w:rPr>
      </w:pPr>
      <w:r>
        <w:rPr>
          <w:rFonts w:ascii="Times New Roman" w:hAnsi="Times New Roman"/>
          <w:i/>
          <w:color w:val="000000"/>
          <w:sz w:val="22"/>
        </w:rPr>
        <w:t>(2) Mont Belvieu-equivalent pricing based on weighting of 53% ethane, 27% propane, 8% normal butane, 4% iso-butane and 8% natural gasoline.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Hedging Status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Range hedges portions of its expected future production volumes to increase the predictability of cash flow and maintain a strong, flexible financial position. Please see the detailed hedging schedule posted on the Range website under Investor Relations - Financial Information.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Range has also hedged basis across the Company’s numerous natural gas sales points to limit volatility between benchmark and regional prices. The combined fair value of natural gas basis hedges as of June 30, 2026, was a net loss of $10.6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Conference Call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A conference call to review the financial results is scheduled on Wednesday, July 22 at 8:00 AM Central Time (9:00 AM Eastern Time). Please </w:t>
      </w:r>
      <w:r>
        <w:rPr>
          <w:rFonts w:ascii="Times New Roman" w:hAnsi="Times New Roman"/>
          <w:sz w:val="22"/>
        </w:rPr>
        <w:t>click here</w:t>
      </w:r>
      <w:r>
        <w:rPr>
          <w:rFonts w:ascii="Times New Roman" w:hAnsi="Times New Roman"/>
          <w:color w:val="000000"/>
          <w:sz w:val="20"/>
        </w:rPr>
        <w:t xml:space="preserve"> </w:t>
      </w:r>
      <w:r>
        <w:rPr>
          <w:rFonts w:ascii="Times New Roman" w:hAnsi="Times New Roman"/>
          <w:color w:val="000000"/>
          <w:sz w:val="22"/>
        </w:rPr>
        <w:t>to pre-register for the conference call and obtain a dial in number with passcode.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A simultaneous webcast of the call may be accessed at </w:t>
      </w:r>
      <w:r>
        <w:rPr>
          <w:rFonts w:ascii="Times New Roman" w:hAnsi="Times New Roman"/>
          <w:sz w:val="22"/>
        </w:rPr>
        <w:t>www.rangeresources.com</w:t>
      </w:r>
      <w:r>
        <w:rPr>
          <w:rFonts w:ascii="Times New Roman" w:hAnsi="Times New Roman"/>
          <w:color w:val="000000"/>
          <w:sz w:val="22"/>
        </w:rPr>
        <w:t>. The webcast will be archived for replay on the Company's website until August 22</w:t>
      </w:r>
      <w:r>
        <w:rPr>
          <w:rFonts w:ascii="Times New Roman" w:hAnsi="Times New Roman"/>
          <w:color w:val="000000"/>
          <w:sz w:val="15"/>
        </w:rPr>
        <w:t>nd</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Non-GAAP Financial Measures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To supplement the presentation of its financial results prepared in accordance with generally accepted accounting principles (GAAP), the Company’s earnings press release contains certain financial measures that are not presented in accordance with GAAP. Management believes certain non-GAAP measures may provide financial statement users with meaningful supplemental information for comparisons within the industry. These non-GAAP financial measures may include, but are not limited to Net Income, excluding certain items, Cash flow from operations before changes in working capital, realized prices, Net debt and Cash margin.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Adjusted net income comparable to analysts’ estimates as set forth in this release represents income or loss from operations before income taxes adjusted for certain non-cash items (detailed in the accompanying table) less income taxes. We believe adjusted net income comparable to analysts’ estimates is calculated on the same basis as analysts’ estimates and that many investors use this published research in making investment decisions and evaluating operational trends of the Company and its performance relative to other oil and gas producing companies. Diluted earnings per share (adjusted) as set forth in this release represents adjusted net income comparable to analysts’ estimates on a diluted per share basis. A table is included which reconciles income or loss from operations to adjusted net income comparable to analysts’ estimates and diluted earnings per share (adjusted). On its website, the Company provides additional comparative information on prior periods.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Cash flow from operations before changes in working capital represents net cash provided by operations before changes in working capital and exploration expense adjusted for certain non-cash compensation items. Cash flow from operations before changes in working capital (sometimes referred to as “adjusted cash flow”) is widely accepted by the investment community as a financial indicator of an oil and gas company’s ability to generate cash to internally fund exploration and development activities and to service debt. Cash flow from operations before changes in working capital is also useful because it is widely used by professional research analysts in valuing, comparing, rating and providing investment recommendations of companies in the oil and gas exploration and production industry. In turn, many investors use this published research in making investment decisions. Cash flow from operations before changes in working capital is not a measure of financial performance under GAAP and should not be considered as an alternative to cash flows from operations, investing, or financing activities as an indicator of cash flows, or as a measure of liquidity. A table is included which reconciles net cash provided by operations to cash flow from operations before changes in working capital as used in this release. On its website, the Company provides additional comparative information on prior periods for cash flow, cash margins and non-GAAP earnings as used in this release.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cash prices realized for oil and natural gas production, including the amounts realized on cash-settled derivatives and net of transportation, gathering, processing and compression expense, is a critical component in the Company’s performance tracked by investors and professional research analysts in valuing, comparing, rating and providing investment recommendations and forecasts of companies in the oil and gas exploration and production industry. In turn, many investors use this published research in making investment decisions. Due to the GAAP disclosures of various derivative transactions and third-party transportation, gathering, processing and compression expense, such information is now reported in various lines of the income statement. The Company believes that it is important to furnish a table reflecting the details of the various components of each income statement line to better inform the reader of the details of each amount and provide a summary of the realized cash-settled amounts and third-party transportation, gathering, processing and compression expense, which were historically reported as natural gas, NGLs and oil sales. This information is intended to bridge the gap between various readers’ understanding and fully disclose the information needed.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Net debt is calculated as total debt less cash and cash equivalents. The Company believes this measure is helpful to investors and industry analysts who utilize Net debt for comparative purposes across the industry.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discloses in this release the detailed components of many of the single line items shown in the GAAP financial statements included in the Company’s Annual or Quarterly Reports on Form 10-K or 10-Q. The Company believes that it is important to furnish this detail of the various components comprising each line of the Statements of Operations to better inform the reader of the details of each amount, the changes between periods and the effect on its financial results.</w:t>
      </w:r>
    </w:p>
    <w:p>
      <w:pPr>
        <w:pStyle w:val="TextBody"/>
        <w:bidi w:val="0"/>
        <w:jc w:val="both"/>
        <w:rPr>
          <w:rFonts w:ascii="Times New Roman" w:hAnsi="Times New Roman"/>
          <w:sz w:val="20"/>
        </w:rPr>
      </w:pPr>
      <w:r>
        <w:rPr>
          <w:rFonts w:ascii="Times New Roman" w:hAnsi="Times New Roman"/>
          <w:color w:val="000000"/>
          <w:sz w:val="22"/>
        </w:rPr>
        <w:t>We believe that the presentation of PV</w:t>
      </w:r>
      <w:r>
        <w:rPr>
          <w:rFonts w:ascii="Times New Roman" w:hAnsi="Times New Roman"/>
          <w:color w:val="363636"/>
          <w:sz w:val="15"/>
        </w:rPr>
        <w:t xml:space="preserve">10 </w:t>
      </w:r>
      <w:r>
        <w:rPr>
          <w:rFonts w:ascii="Times New Roman" w:hAnsi="Times New Roman"/>
          <w:color w:val="000000"/>
          <w:sz w:val="22"/>
        </w:rPr>
        <w:t>value of our proved reserves is a relevant and useful metric for our investors as supplemental disclosure to the standardized measure, or after-tax amount, because it presents the discounted future net cash flows attributable to our proved reserves before taking into account future corporate income taxes and our current tax structure. While the standardized measure is dependent on the unique tax situation of each company, PV</w:t>
      </w:r>
      <w:r>
        <w:rPr>
          <w:rFonts w:ascii="Times New Roman" w:hAnsi="Times New Roman"/>
          <w:color w:val="363636"/>
          <w:sz w:val="15"/>
        </w:rPr>
        <w:t xml:space="preserve">10 </w:t>
      </w:r>
      <w:r>
        <w:rPr>
          <w:rFonts w:ascii="Times New Roman" w:hAnsi="Times New Roman"/>
          <w:color w:val="000000"/>
          <w:sz w:val="22"/>
        </w:rPr>
        <w:t>is based on prices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and discount factors that are consistent for all companies. Because of this, PV</w:t>
      </w:r>
      <w:r>
        <w:rPr>
          <w:rFonts w:ascii="Times New Roman" w:hAnsi="Times New Roman"/>
          <w:color w:val="363636"/>
          <w:sz w:val="15"/>
        </w:rPr>
        <w:t xml:space="preserve">10 </w:t>
      </w:r>
      <w:r>
        <w:rPr>
          <w:rFonts w:ascii="Times New Roman" w:hAnsi="Times New Roman"/>
          <w:color w:val="000000"/>
          <w:sz w:val="22"/>
        </w:rPr>
        <w:t>can be used within the industry and by credit and security analysts to evaluate estimated net cash flows from proved reserves on a more comparable basis.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RANGE RESOURCES CORPORATION (NYSE: RRC)</w:t>
      </w:r>
      <w:r>
        <w:rPr>
          <w:rFonts w:ascii="Times New Roman" w:hAnsi="Times New Roman"/>
          <w:color w:val="000000"/>
          <w:sz w:val="20"/>
        </w:rPr>
        <w:t xml:space="preserve"> </w:t>
      </w:r>
      <w:r>
        <w:rPr>
          <w:rFonts w:ascii="Times New Roman" w:hAnsi="Times New Roman"/>
          <w:color w:val="000000"/>
          <w:sz w:val="22"/>
        </w:rPr>
        <w:t xml:space="preserve">is a leading U.S. independent natural gas and NGL producer with operations focused in the Appalachian Basin. The Company is headquartered in Fort Worth, Texas. More information about Range can be found at </w:t>
      </w:r>
      <w:r>
        <w:rPr>
          <w:rFonts w:ascii="Times New Roman" w:hAnsi="Times New Roman"/>
          <w:sz w:val="22"/>
        </w:rPr>
        <w:t>www.rangeresources.com</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Included within this release are certain “forward-looking statements” within the meaning of the federal securities laws, including the safe harbor provisions of the Private Securities Litigation Reform Act of 1995, that are not limited to historical facts, but reflect Range’s current beliefs, expectations or intentions regarding future events. Words such as “may,” “will,” “could,” “should,” “expect,” “plan,” “project,” “intend,” “anticipate,” “believe,” “outlook”, “estimate,” “predict,” “potential,” “pursue,” “target,” “continue,” and similar expressions are intended to identify such forward-looking statements.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All statements, except for statements of historical fact, made within regarding activities, events or developments the Company expects, believes or anticipates will or may occur in the future, such as those regarding future well costs, expected asset sales, well productivity, future liquidity and financial resilience, anticipated exports and related financial impact, NGL market supply and demand, future commodity fundamentals and pricing, future capital efficiencies, future shareholder value, emerging plays, capital spending, anticipated drilling and completion activity, acreage prospectivity, expected pipeline utilization and future guidance information, are forward-looking statements within the meaning of Section 27A of the Securities Act of 1933, as amended, and Section 21E of the Securities Exchange Act of 1934, as amended. These statements are based on assumptions and estimates that management believes are reasonable based on currently available information; however, management's assumptions and Range's future performance are subject to a wide range of business risks and uncertainties and there is no assurance that these goals and projections can or will be met. Any number of factors could cause actual results to differ materially from those in the forward-looking statements. Further information on risks and uncertainties is available in Range's filings with the Securities and Exchange Commission (SEC), including its most recent Annual Report on Form 10-K. Unless required by law, Range undertakes no obligation to publicly update or revise any forward-looking statements to reflect circumstances or events after the date they are made.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The SEC permits oil and gas companies, in filings made with the SEC, to disclose proved reserves, which are estimates that geological and engineering data demonstrate with reasonable certainty to be recoverable in future years from known reservoirs under existing economic and operating conditions as well as the option to disclose probable and possible reserves. Range has elected not to disclose its probable and possible reserves in its filings with the SEC. Range uses certain broader terms such as "resource potential,” “unrisked resource potential,” "unproved resource potential" or "upside" or other descriptions of volumes of resources potentially recoverable through additional drilling or recovery techniques that may include probable and possible reserves as defined by the SEC's guidelines. Range has not attempted to distinguish probable and possible reserves from these broader classifications. The SEC’s rules prohibit us from including in filings with the SEC these broader classifications of reserves. These estimates are by their nature more speculative than estimates of proved, probable and possible reserves and accordingly are subject to substantially greater risk of actually being realized. Unproved resource potential refers to Range's internal estimates of hydrocarbon quantities that may be potentially discovered through exploratory drilling or recovered with additional drilling or recovery techniques and have not been reviewed by independent engineers. Unproved resource potential does not constitute reserves within the meaning of the Society of Petroleum Engineer's Petroleum Resource Management System and does not include proved reserves. Area wide unproven resource potential has not been fully risked by Range's management. “EUR”, or estimated ultimate recovery, refers to our management’s estimates of hydrocarbon quantities that may be recovered from a well completed as a producer in the area. These quantities may not necessarily constitute or represent reserves within the meaning of the Society of Petroleum Engineer’s Petroleum Resource Management System or the SEC’s oil and natural gas disclosure rules. Actual quantities that may be recovered from Range's interests could differ substantially. Factors affecting ultimate recovery include the scope of Range's drilling program, which will be directly affected by the availability of capital, drilling and production costs, commodity prices, availability of drilling services and equipment, drilling results, lease expirations, transportation constraints, regulatory approvals, field spacing rules, recoveries of gas in place, length of horizontal laterals, actual drilling results, including geological and mechanical factors affecting recovery rates and other factors. Estimates of resource potential may change significantly as development of our resource plays provides additional data.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In addition, our production forecasts and expectations for future periods are dependent upon many assumptions, including estimates of production decline rates from existing wells and the undertaking and outcome of future drilling activity, which</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2"/>
        </w:rPr>
        <w:t xml:space="preserve">may be affected by significant commodity price or drilling cost changes. Investors are urged to consider closely the disclosure in our most recent Annual Report on Form 10-K, available from our website at </w:t>
      </w:r>
      <w:r>
        <w:rPr>
          <w:rFonts w:ascii="Times New Roman" w:hAnsi="Times New Roman"/>
          <w:i/>
          <w:sz w:val="22"/>
        </w:rPr>
        <w:t>www.rangeresources.com</w:t>
      </w:r>
      <w:r>
        <w:rPr>
          <w:rFonts w:ascii="Times New Roman" w:hAnsi="Times New Roman"/>
          <w:color w:val="000000"/>
          <w:sz w:val="20"/>
        </w:rPr>
        <w:t xml:space="preserve"> </w:t>
      </w:r>
      <w:r>
        <w:rPr>
          <w:rFonts w:ascii="Times New Roman" w:hAnsi="Times New Roman"/>
          <w:i/>
          <w:color w:val="000000"/>
          <w:sz w:val="22"/>
        </w:rPr>
        <w:t xml:space="preserve">or by written request to 100 Throckmorton Street, Suite 1200, Fort Worth, Texas 76102. You can also obtain this Form 10-K on the SEC’s website at </w:t>
      </w:r>
      <w:r>
        <w:rPr>
          <w:rFonts w:ascii="Times New Roman" w:hAnsi="Times New Roman"/>
          <w:i/>
          <w:sz w:val="22"/>
        </w:rPr>
        <w:t>www.sec.gov</w:t>
      </w:r>
      <w:r>
        <w:rPr>
          <w:rFonts w:ascii="Times New Roman" w:hAnsi="Times New Roman"/>
          <w:color w:val="000000"/>
          <w:sz w:val="20"/>
        </w:rPr>
        <w:t xml:space="preserve"> </w:t>
      </w:r>
      <w:r>
        <w:rPr>
          <w:rFonts w:ascii="Times New Roman" w:hAnsi="Times New Roman"/>
          <w:i/>
          <w:color w:val="000000"/>
          <w:sz w:val="22"/>
        </w:rPr>
        <w:t>or by calling the SEC at 1-800-SEC-0330.</w:t>
      </w:r>
    </w:p>
    <w:p>
      <w:pPr>
        <w:pStyle w:val="TextBody"/>
        <w:bidi w:val="0"/>
        <w:jc w:val="left"/>
        <w:rPr/>
      </w:pPr>
      <w:r>
        <w:rPr/>
        <w:t> </w:t>
      </w:r>
    </w:p>
    <w:p>
      <w:pPr>
        <w:pStyle w:val="TextBody"/>
        <w:pBdr>
          <w:bottom w:val="single" w:sz="12" w:space="1" w:color="000000"/>
        </w:pBdr>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SOURCE: Range Resources Corporation</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Range Investor Contacts: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Laith Sando</w:t>
      </w:r>
    </w:p>
    <w:p>
      <w:pPr>
        <w:pStyle w:val="TextBody"/>
        <w:bidi w:val="0"/>
        <w:jc w:val="left"/>
        <w:rPr>
          <w:rFonts w:ascii="Times New Roman" w:hAnsi="Times New Roman"/>
          <w:color w:val="000000"/>
          <w:sz w:val="24"/>
        </w:rPr>
      </w:pPr>
      <w:r>
        <w:rPr>
          <w:rFonts w:ascii="Times New Roman" w:hAnsi="Times New Roman"/>
          <w:color w:val="000000"/>
          <w:sz w:val="24"/>
        </w:rPr>
        <w:t>817-869-4267</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Matt Schmid</w:t>
      </w:r>
    </w:p>
    <w:p>
      <w:pPr>
        <w:pStyle w:val="TextBody"/>
        <w:bidi w:val="0"/>
        <w:jc w:val="left"/>
        <w:rPr>
          <w:rFonts w:ascii="Times New Roman" w:hAnsi="Times New Roman"/>
          <w:color w:val="000000"/>
          <w:sz w:val="24"/>
        </w:rPr>
      </w:pPr>
      <w:r>
        <w:rPr>
          <w:rFonts w:ascii="Times New Roman" w:hAnsi="Times New Roman"/>
          <w:color w:val="000000"/>
          <w:sz w:val="24"/>
        </w:rPr>
        <w:t>817-869-1538</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Range Media Contact: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Mark Windle</w:t>
      </w:r>
    </w:p>
    <w:p>
      <w:pPr>
        <w:pStyle w:val="TextBody"/>
        <w:bidi w:val="0"/>
        <w:jc w:val="left"/>
        <w:rPr>
          <w:rFonts w:ascii="Times New Roman" w:hAnsi="Times New Roman"/>
          <w:color w:val="000000"/>
          <w:sz w:val="24"/>
        </w:rPr>
      </w:pPr>
      <w:r>
        <w:rPr>
          <w:rFonts w:ascii="Times New Roman" w:hAnsi="Times New Roman"/>
          <w:color w:val="000000"/>
          <w:sz w:val="24"/>
        </w:rPr>
        <w:t>724-873-3223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57"/>
        <w:gridCol w:w="196"/>
        <w:gridCol w:w="691"/>
        <w:gridCol w:w="166"/>
        <w:gridCol w:w="146"/>
        <w:gridCol w:w="196"/>
        <w:gridCol w:w="691"/>
        <w:gridCol w:w="166"/>
        <w:gridCol w:w="146"/>
        <w:gridCol w:w="146"/>
        <w:gridCol w:w="346"/>
        <w:gridCol w:w="241"/>
        <w:gridCol w:w="146"/>
        <w:gridCol w:w="196"/>
        <w:gridCol w:w="826"/>
        <w:gridCol w:w="146"/>
        <w:gridCol w:w="146"/>
        <w:gridCol w:w="196"/>
        <w:gridCol w:w="826"/>
        <w:gridCol w:w="166"/>
        <w:gridCol w:w="146"/>
        <w:gridCol w:w="146"/>
        <w:gridCol w:w="286"/>
        <w:gridCol w:w="891"/>
      </w:tblGrid>
      <w:tr>
        <w:trPr/>
        <w:tc>
          <w:tcPr>
            <w:tcW w:w="29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9314"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RANGE RESOURCES CORPORATION</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STATEMENTS OF OPERATIONS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Based on GAAP reported earnings with additional</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details of items included in each line in Form 10-Q</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(Unaudited, In thousands, except per share data)</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Six Months Ended June 30,</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Revenues and other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Natural gas, NGLs and oil sales (a)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702,087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666,638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1,712,339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1,458,558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Derivative fair value income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Brokered natural gas and marketing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ARO settlement gain (b)</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income (b)</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Gain on sale of assets (b)</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(b)</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revenues and other income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833,571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856,275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1,867,741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1,546,829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Costs and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Direct operating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Direct operating - stock-based compensation (c)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Transportation, gathering, processing and compression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Taxes other than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Brokered natural gas, NGLs and marketing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Brokered natural gas, NGLs and marketing - stock-based compensation (c)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Exploration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Exploration - stock-based compensation (c)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Abandonment and impairment of unproved properties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General and administrative - stock-based compensation (c)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General and administrative - lawsuit settlements and 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Exit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compensation plan (d)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expense - amortization of debt issuance costs (e)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(gain) on early extinguishment of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Depletion, depreciation and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costs and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584,944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1,185,953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1,135,052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before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681,788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237,578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334,630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income Per Common Share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Basic</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Diluted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Weighted average common shares outstanding, as reported</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Diluted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9314" w:type="dxa"/>
            <w:gridSpan w:val="2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 See separate natural gas, NGLs and oil sales information table.</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9314" w:type="dxa"/>
            <w:gridSpan w:val="2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(b) Included in Other income in the 10-Q.</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9314" w:type="dxa"/>
            <w:gridSpan w:val="2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 Costs associated with stock compensation and amortization, which have been reflected in the categories</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9314" w:type="dxa"/>
            <w:gridSpan w:val="23"/>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color w:val="000000"/>
              </w:rPr>
            </w:pPr>
            <w:r>
              <w:rPr>
                <w:color w:val="000000"/>
              </w:rPr>
              <w:t> </w:t>
            </w:r>
            <w:r>
              <w:rPr>
                <w:rFonts w:ascii="Times New Roman" w:hAnsi="Times New Roman"/>
                <w:color w:val="000000"/>
                <w:sz w:val="17"/>
              </w:rPr>
              <w:t>associated with the direct personnel costs, are combined with the cash costs in the 10-Q.</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9314" w:type="dxa"/>
            <w:gridSpan w:val="2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 Reflects the change in market value of the vested Company stock held in the deferred compensation plan.</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9314" w:type="dxa"/>
            <w:gridSpan w:val="2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(e) Included in interest expense in the 10-Q.</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01" w:type="dxa"/>
        <w:jc w:val="left"/>
        <w:tblInd w:w="0" w:type="dxa"/>
        <w:tblLayout w:type="fixed"/>
        <w:tblCellMar>
          <w:top w:w="28" w:type="dxa"/>
          <w:left w:w="28" w:type="dxa"/>
          <w:bottom w:w="28" w:type="dxa"/>
          <w:right w:w="28" w:type="dxa"/>
        </w:tblCellMar>
      </w:tblPr>
      <w:tblGrid>
        <w:gridCol w:w="5076"/>
        <w:gridCol w:w="196"/>
        <w:gridCol w:w="826"/>
        <w:gridCol w:w="166"/>
        <w:gridCol w:w="146"/>
        <w:gridCol w:w="207"/>
        <w:gridCol w:w="873"/>
        <w:gridCol w:w="611"/>
      </w:tblGrid>
      <w:tr>
        <w:trPr/>
        <w:tc>
          <w:tcPr>
            <w:tcW w:w="50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49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RANGE RESOURCES CORPORATION</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SHEET</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(Unaudited, In thousands)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Assets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322,502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390,835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Derivative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69,397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Natural gas, NGLs and oil properties, net (successful efforts method)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6,878,562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6,708,366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property and equipment,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right-of-use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173,477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74,938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7,561,943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7,421,948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Liabilities and Stockholders' Equity</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641,525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658,783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Asset retirement obligations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Derivative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Bank debt, net of unamortized debt issuance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370,889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106,700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Senior notes, net of unamortized debt issuance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496,196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1,091,634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tax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701,601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Derivative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compensation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68,635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115,515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Asset retirement obligations and other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153,081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Divestiture contract obligation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202,586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2,853,194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3,103,267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Common stock and retained deficit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5,560,981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5,064,743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Common stock held in treasury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(852,633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(746,486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stockholders'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4,708,749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4,318,681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7,561,943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7,421,948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995" w:type="dxa"/>
        <w:jc w:val="left"/>
        <w:tblInd w:w="0" w:type="dxa"/>
        <w:tblLayout w:type="fixed"/>
        <w:tblCellMar>
          <w:top w:w="28" w:type="dxa"/>
          <w:left w:w="28" w:type="dxa"/>
          <w:bottom w:w="28" w:type="dxa"/>
          <w:right w:w="28" w:type="dxa"/>
        </w:tblCellMar>
      </w:tblPr>
      <w:tblGrid>
        <w:gridCol w:w="4426"/>
        <w:gridCol w:w="196"/>
        <w:gridCol w:w="691"/>
        <w:gridCol w:w="166"/>
        <w:gridCol w:w="146"/>
        <w:gridCol w:w="207"/>
        <w:gridCol w:w="873"/>
        <w:gridCol w:w="166"/>
        <w:gridCol w:w="146"/>
        <w:gridCol w:w="146"/>
        <w:gridCol w:w="346"/>
        <w:gridCol w:w="486"/>
      </w:tblGrid>
      <w:tr>
        <w:trPr/>
        <w:tc>
          <w:tcPr>
            <w:tcW w:w="44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RECONCILIATION OF TOTAL DEBT AS REPORTED</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 NET DEBT, a non-GAAP measure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(Unaudited,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debt, net of unamortized debt issuance costs, as reported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1,198,334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Unamortized debt issuance costs, as reported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Less cash and cash equivalents, as reported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debt, a non-GAAP measure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880,753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1,217,796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6"/>
        <w:gridCol w:w="199"/>
        <w:gridCol w:w="705"/>
        <w:gridCol w:w="168"/>
        <w:gridCol w:w="148"/>
        <w:gridCol w:w="199"/>
        <w:gridCol w:w="766"/>
        <w:gridCol w:w="166"/>
        <w:gridCol w:w="146"/>
        <w:gridCol w:w="196"/>
        <w:gridCol w:w="691"/>
        <w:gridCol w:w="166"/>
        <w:gridCol w:w="146"/>
        <w:gridCol w:w="196"/>
        <w:gridCol w:w="691"/>
        <w:gridCol w:w="816"/>
      </w:tblGrid>
      <w:tr>
        <w:trPr/>
        <w:tc>
          <w:tcPr>
            <w:tcW w:w="480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9389"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RANGE RESOURCES CORPORATION</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(Unaudited, in thousands)</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Six Months Ended June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195,323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334,630</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cash provided from continuing operations:</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income tax expense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50,675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70,502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Depletion, depreciation and amortization</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93,082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182,073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Abandonment and impairment of unproved properties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11,355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Derivative fair value (income) loss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(73,540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settlements on derivative financial instruments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36,039</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Divestiture contract obligation, including accretion</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9,569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17,399</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Amortization of deferred financing costs and other</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and stock-based compensation</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10,492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26,130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Gain on sale of assets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(gain) on early extinguishment of debt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Changes in working capital:</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Accounts receivable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68,064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Other current assets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(8,510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Accounts payable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(76,901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9,158</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Accrued liabilities and other</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(86,754</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Net changes in working capital</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(91,503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(18,042</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provided from operating activities</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235,015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854,151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666,273</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RECONCILIATION OF NET CASH PROVIDED FROM OPERATING</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ACTIVITIES, AS REPORTED, TO CASH FLOW FROM OPERATIONS</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BEFORE CHANGES IN WORKING CAPITAL, a non-GAAP measure</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(Unaudited, in thousands)</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Six Months Ended June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provided from operating activities, as reported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235,015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854,151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666,273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changes in working capital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91,503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18,042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Exploration expense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13,606</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Lawsuit settlements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Sale of seismic data</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Non-cash compensation adjustment and other</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 from operations before changes in working capital - non-GAAP measure</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332,510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877,443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697,902</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ADJUSTED WEIGHTED AVERAGE SHARES OUTSTANDING</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(Unaudited, in thousands)</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Six Months Ended June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Basic:</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Weighted average shares outstanding</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234,986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239,785</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 held by deferred compensation plan</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(679</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Adjusted basic</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234,739</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239,106</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Dilutive:</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Weighted average shares outstanding</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234,986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239,785</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Dilutive stock options under treasury method</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987</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Adjusted dilutive</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236,210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239,717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240,772</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32"/>
        <w:gridCol w:w="181"/>
        <w:gridCol w:w="766"/>
        <w:gridCol w:w="151"/>
        <w:gridCol w:w="146"/>
        <w:gridCol w:w="181"/>
        <w:gridCol w:w="766"/>
        <w:gridCol w:w="151"/>
        <w:gridCol w:w="146"/>
        <w:gridCol w:w="146"/>
        <w:gridCol w:w="301"/>
        <w:gridCol w:w="211"/>
        <w:gridCol w:w="146"/>
        <w:gridCol w:w="181"/>
        <w:gridCol w:w="766"/>
        <w:gridCol w:w="151"/>
        <w:gridCol w:w="146"/>
        <w:gridCol w:w="181"/>
        <w:gridCol w:w="766"/>
        <w:gridCol w:w="151"/>
        <w:gridCol w:w="146"/>
        <w:gridCol w:w="146"/>
        <w:gridCol w:w="256"/>
        <w:gridCol w:w="891"/>
      </w:tblGrid>
      <w:tr>
        <w:trPr/>
        <w:tc>
          <w:tcPr>
            <w:tcW w:w="31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9314"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u w:val="single"/>
              </w:rPr>
            </w:pPr>
            <w:r>
              <w:rPr>
                <w:rFonts w:ascii="Times New Roman" w:hAnsi="Times New Roman"/>
                <w:b/>
                <w:color w:val="000000"/>
                <w:sz w:val="14"/>
                <w:u w:val="single"/>
              </w:rPr>
              <w:t>RANGE RESOURCES CORPORATION</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RECONCILIATION OF NATURAL GAS, NGLs AND OIL SALES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AND DERIVATIVE FAIR VALUE INCOME (LOSS) TO</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CALCULATED CASH REALIZED NATURAL GAS, NGLs AND</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PRICES WITH AND WITHOUT THIRD-PARTY</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 GATHERING, PROCESSING AND</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COMPRESSION COSTS, a non-GAAP measure</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(Unaudited, In thousands, except per unit data)</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Six Months Ended June 30,</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Natural gas, NGLs and Oil Sales components: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Natural gas sales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339,796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397,955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1,043,877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888,332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NGLs sales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312,822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238,034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572,054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513,688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Oil sales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49,469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Natural Gas, NGLs and Oil Sales, as reported</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702,087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666,638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1,712,339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1,458,558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Derivative Fair Value Income (Loss), as reported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73,540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154,747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settlements on derivative financial instruments - (gain) loss: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Natural gas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NGLs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Oil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change in fair value related to commodity derivatives prior to</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settlement, a non-GAAP measure</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Transportation, gathering, processing and compression components: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Natural Gas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152,091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154,704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312,223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NGLs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163,854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149,209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317,198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297,047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Oil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transportation, gathering, processing and compression, as reported</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316,812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304,714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640,141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610,823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Natural gas, NGL and Oil sales, including cash-settled derivatives: (c)</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Natural gas sales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392,585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427,069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1,050,997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922,175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NGLs sales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305,632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239,542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564,864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514,784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Oil Sales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82,471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737,375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698,104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1,698,332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1,494,597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Production of natural gas, NGLs and oil during the periods (a):</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Natural Gas (mcf)</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140,947,296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136,297,159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276,743,067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272,260,589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NGLs (bbls)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10,748,270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10,029,051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20,485,652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19,949,040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Oil (bbls)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589,230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580,791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1,330,754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1,004,370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Gas equivalent (mcfe) (b)</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208,972,296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199,956,211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407,641,503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397,981,049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Production of natural gas, NGLs and oil - average per day (a):</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Natural Gas (mcf)</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1,548,871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1,497,771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1,528,967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1,504,202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NGLs (bbls)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118,113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110,209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113,180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Oil (bbls)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Gas equivalent (mcfe) (b)</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2,296,399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2,197,321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2,252,163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2,198,790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Average prices, excluding derivative settlements and before third-party</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transportation costs: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Natural Gas (per mcf)</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NGLs (per bbl)</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Oil (per bbl)</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Gas equivalent (per mcfe) (b)</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Average prices, including derivative settlements before third-party</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transportation costs: (c)</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Natural Gas (per mcf)</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NGLs (per bbl)</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Oil (per bbl)</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Gas equivalent (per mcfe) (b)</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Average prices, including derivative settlements and after third-party</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transportation costs: (d)</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Natural Gas (per mcf)</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NGLs (per bbl)</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Oil (per bbl)</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Gas equivalent (per mcfe) (b)</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Transportation, gathering and compression expense per mcfe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9314" w:type="dxa"/>
            <w:gridSpan w:val="2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(a) Represents volumes sold regardless of when produced.</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9314" w:type="dxa"/>
            <w:gridSpan w:val="2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(b) Oil and NGLs are converted at the rate of one barrel equals six mcfe based upon the approximate relative energy content of oil to natural gas, which is not necessarily</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9314" w:type="dxa"/>
            <w:gridSpan w:val="23"/>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4"/>
              </w:rPr>
            </w:pPr>
            <w:r>
              <w:rPr>
                <w:rFonts w:ascii="Times New Roman" w:hAnsi="Times New Roman"/>
                <w:color w:val="000000"/>
                <w:sz w:val="14"/>
              </w:rPr>
              <w:t>indicative of the relationship of oil and natural gas prices.</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9314" w:type="dxa"/>
            <w:gridSpan w:val="2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(c) Excluding third-party transportation, gathering, processing and compression costs.</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77"/>
        <w:gridCol w:w="181"/>
        <w:gridCol w:w="601"/>
        <w:gridCol w:w="151"/>
        <w:gridCol w:w="146"/>
        <w:gridCol w:w="181"/>
        <w:gridCol w:w="601"/>
        <w:gridCol w:w="151"/>
        <w:gridCol w:w="146"/>
        <w:gridCol w:w="146"/>
        <w:gridCol w:w="301"/>
        <w:gridCol w:w="226"/>
        <w:gridCol w:w="146"/>
        <w:gridCol w:w="181"/>
        <w:gridCol w:w="601"/>
        <w:gridCol w:w="151"/>
        <w:gridCol w:w="146"/>
        <w:gridCol w:w="181"/>
        <w:gridCol w:w="601"/>
        <w:gridCol w:w="151"/>
        <w:gridCol w:w="146"/>
        <w:gridCol w:w="146"/>
        <w:gridCol w:w="256"/>
        <w:gridCol w:w="134"/>
        <w:gridCol w:w="657"/>
      </w:tblGrid>
      <w:tr>
        <w:trPr/>
        <w:tc>
          <w:tcPr>
            <w:tcW w:w="38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9548" w:type="dxa"/>
            <w:gridSpan w:val="24"/>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(d) Net of transportation, gathering, processing and compression costs.</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14"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RANGE RESOURCES CORPORATION</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RECONCILIATION OF INCOME BEFORE INCOME</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TAXES AS REPORTED TO INCOME BEFORE INCOME TAXES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EXCLUDING CERTAIN ITEMS, a non-GAAP measure</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(Unaudited, In thousands, except per share data)</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Three Months Ended 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Six Months Ended June 30,</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Income from operations before income taxes, as reported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248,627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302,042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681,788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411,777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 for certain special items: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Gain on the sale of assets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ARO settlement gain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Sale of seismic data</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 in fair value related to derivatives prior to settlement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Abandonment and impairment of unproved properties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(gain) on early extinguishment of debt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Lawsuit settlements and other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Exit costs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Direct operating - stock-based compensation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Brokered natural gas, NGLs and marketing - stock-based compensation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Exploration expenses - stock-based compensation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General &amp; administrative - stock-based compensation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compensation plan - non-cash adjustment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Income before income taxes, as adjusted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235,115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204,914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690,800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506,326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Income tax expense, as adjusted</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Current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(a)</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46,745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136,638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109,810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excluding certain items, a non-GAAP measure</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185,741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157,784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545,732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389,871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Non-GAAP income per common share</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Basic</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Non-GAAP diluted shares outstanding, if dilutive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236,210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239,717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236,348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240,772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9414" w:type="dxa"/>
            <w:gridSpan w:val="23"/>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 Taxes are estimated to be approximately 21% for 2026 and 23% for 2025</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99"/>
        <w:gridCol w:w="200"/>
        <w:gridCol w:w="707"/>
        <w:gridCol w:w="169"/>
        <w:gridCol w:w="149"/>
        <w:gridCol w:w="200"/>
        <w:gridCol w:w="768"/>
        <w:gridCol w:w="166"/>
        <w:gridCol w:w="146"/>
        <w:gridCol w:w="196"/>
        <w:gridCol w:w="691"/>
        <w:gridCol w:w="166"/>
        <w:gridCol w:w="146"/>
        <w:gridCol w:w="196"/>
        <w:gridCol w:w="691"/>
        <w:gridCol w:w="415"/>
      </w:tblGrid>
      <w:tr>
        <w:trPr/>
        <w:tc>
          <w:tcPr>
            <w:tcW w:w="51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979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RANGE RESOURCES CORPORATION</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RECONCILIATION OF NET INCOME, EXCLUDING</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CERTAIN ITEMS AND ADJUSTED EARNINGS PER</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SHARE, non-GAAP measures</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 thousands, except per share data)</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income, as reported</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195,323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334,630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Adjustments for certain special items:</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Gain on the sale of assets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ARO settlement gain</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Sale of seismic data</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(gain) on early extinguishment of debt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related to derivatives prior to settlement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(38,252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40,249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Abandonment and impairment of unproved properties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11,355</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Lawsuit settlements and other</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Exit costs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9,569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17,399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12,092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22,833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compensation plan</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Tax impact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(39,308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income, excluding certain items, a non-GAAP measure</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185,741</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545,732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389,871</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income per diluted share, as reported</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Adjustments for certain special items per diluted share:</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Gain on the sale of assets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ARO settlement gain</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Sale of seismic data</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(gain) on early extinguishment of debt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related to derivatives prior to settlement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Abandonment and impairment of unproved properties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0.05</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Lawsuit settlements and other</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Exit costs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compensation plan</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 for rounding differences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Tax impact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Dilutive share impact (rabbi trust and other)</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income per diluted share, excluding certain items, a non-GAAP measure</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0.79</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Adjusted earnings per share, a non-GAAP measure:</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Basic</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Diluted</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38"/>
        <w:gridCol w:w="199"/>
        <w:gridCol w:w="704"/>
        <w:gridCol w:w="168"/>
        <w:gridCol w:w="148"/>
        <w:gridCol w:w="199"/>
        <w:gridCol w:w="766"/>
        <w:gridCol w:w="166"/>
        <w:gridCol w:w="146"/>
        <w:gridCol w:w="196"/>
        <w:gridCol w:w="826"/>
        <w:gridCol w:w="166"/>
        <w:gridCol w:w="146"/>
        <w:gridCol w:w="196"/>
        <w:gridCol w:w="826"/>
        <w:gridCol w:w="815"/>
      </w:tblGrid>
      <w:tr>
        <w:trPr/>
        <w:tc>
          <w:tcPr>
            <w:tcW w:w="45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939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RANGE RESOURCES CORPORATION</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RECONCILIATION OF CASH MARGIN PER MCFE, a non-</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GAAP measure</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(Unaudited, In thousands, except per unit data)</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Six Months Ended June 30,</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Revenues</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Natural gas, NGLs and oil sales, as reported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702,087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666,638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1,712,339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1,458,558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Derivative fair value income (loss), as reported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73,540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Less non-cash fair value (gain) loss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(38,252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40,249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Brokered natural gas and marketing, as reported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57,496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87,417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income, as reported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5,064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Less gain on sale of assets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Less ARO settlement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Cash revenues and other income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795,296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732,891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1,813,594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1,586,913</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Expenses</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Direct operating, as reported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27,791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48,493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Less direct operating stock-based compensation</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Transportation, gathering and compression, as reported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316,812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610,823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Taxes other than income, as reported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6,926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14,822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Brokered natural gas, NGLs and marketing, as reported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59,337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93,186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Less brokered natural gas, NGLs and marketing stock-based compensation</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General and administrative, as reported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47,707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83,837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Less G&amp;A stock-based compensation</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(10,471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(19,437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Less lawsuit settlements and other</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expense, as reported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55,957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Less amortization of debt issuance costs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(2,542</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Cash expenses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459,797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427,735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927,361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882,366</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margin, a non-GAAP measure</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335,499</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886,233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704,547</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Mmcfe produced during period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208,972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397,981</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margin per mcfe</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RECONCILIATION OF INCOME BEFORE INCOME TAXES</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 CASH MARGIN, a non-GAAP measure</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(Unaudited, in thousands, except per unit data)</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Six Months Ended June 30,</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Income before income taxes, as reported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248,627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681,788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411,777</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Adjustments to reconcile income before income taxes</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7"/>
              </w:rPr>
            </w:pPr>
            <w:r>
              <w:rPr>
                <w:rFonts w:ascii="Times New Roman" w:hAnsi="Times New Roman"/>
                <w:b/>
                <w:color w:val="000000"/>
                <w:sz w:val="17"/>
              </w:rPr>
              <w:t>to cash margin:</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ARO settlements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Derivative fair value (income) loss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(73,540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cash receipts (payments) on derivative settlements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36,039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Exploration expense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13,606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Lawsuit settlements and other</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Exit costs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9,569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17,399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compensation plan</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(direct operating, brokered natural gas, NGLs and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12,092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22,833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marketing, exploration and general and administrative)</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Bad debt expense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 amortization of debt issuance costs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Depletion, depreciation and amortization</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93,082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182,073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Gain on sale of assets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(gain) on early extinguishment of debt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Abandonment and impairment of unproved properties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11,355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margin, a non-GAAP measure</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335,499</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886,233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704,547</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6581</Words>
  <Characters>35591</Characters>
  <CharactersWithSpaces>45276</CharactersWithSpaces>
  <Paragraphs>6831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