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80" w:after="180"/>
        <w:jc w:val="left"/>
        <w:rPr/>
      </w:pPr>
      <w:bookmarkStart w:id="0" w:name="rrc-20260630.htm"/>
      <w:bookmarkStart w:id="1" w:name="ksrrc20260630"/>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2"/>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2"/>
              </w:rPr>
              <w:t xml:space="preserve">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001-12209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5406" w:type="dxa"/>
        <w:jc w:val="left"/>
        <w:tblInd w:w="0" w:type="dxa"/>
        <w:tblLayout w:type="fixed"/>
        <w:tblCellMar>
          <w:top w:w="28" w:type="dxa"/>
          <w:left w:w="28" w:type="dxa"/>
          <w:bottom w:w="28" w:type="dxa"/>
          <w:right w:w="28" w:type="dxa"/>
        </w:tblCellMar>
      </w:tblPr>
      <w:tblGrid>
        <w:gridCol w:w="2521"/>
        <w:gridCol w:w="109"/>
        <w:gridCol w:w="2776"/>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34-1312571</w:t>
            </w:r>
          </w:p>
        </w:tc>
      </w:tr>
      <w:tr>
        <w:trPr/>
        <w:tc>
          <w:tcPr>
            <w:tcW w:w="25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 Identification No.)</w:t>
            </w:r>
          </w:p>
        </w:tc>
      </w:tr>
    </w:tbl>
    <w:p>
      <w:pPr>
        <w:pStyle w:val="TextBody"/>
        <w:bidi w:val="0"/>
        <w:spacing w:before="60" w:after="283"/>
        <w:jc w:val="left"/>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100 Throckmorton Street, Suite 1200</w:t>
      </w:r>
    </w:p>
    <w:p>
      <w:pPr>
        <w:pStyle w:val="TextBody"/>
        <w:bidi w:val="0"/>
        <w:spacing w:before="0" w:after="20"/>
        <w:jc w:val="center"/>
        <w:rPr>
          <w:rFonts w:ascii="Times New Roman" w:hAnsi="Times New Roman"/>
          <w:sz w:val="20"/>
        </w:rPr>
      </w:pPr>
      <w:r>
        <w:rPr>
          <w:rFonts w:ascii="Times New Roman" w:hAnsi="Times New Roman"/>
          <w:b/>
          <w:color w:val="000000"/>
          <w:sz w:val="20"/>
        </w:rPr>
        <w:t>Fort Worth, Texas</w:t>
      </w:r>
      <w:r>
        <w:rPr>
          <w:rFonts w:ascii="Times New Roman" w:hAnsi="Times New Roman"/>
          <w:color w:val="000000"/>
          <w:sz w:val="20"/>
        </w:rPr>
        <w:t xml:space="preserve"> </w:t>
      </w:r>
      <w:r>
        <w:rPr>
          <w:rFonts w:ascii="Times New Roman" w:hAnsi="Times New Roman"/>
          <w:b/>
          <w:color w:val="000000"/>
          <w:sz w:val="20"/>
        </w:rPr>
        <w:t>76102</w:t>
      </w:r>
    </w:p>
    <w:p>
      <w:pPr>
        <w:pStyle w:val="TextBody"/>
        <w:bidi w:val="0"/>
        <w:spacing w:before="0" w:after="80"/>
        <w:jc w:val="center"/>
        <w:rPr>
          <w:rFonts w:ascii="Times New Roman" w:hAnsi="Times New Roman"/>
          <w:sz w:val="20"/>
        </w:rPr>
      </w:pPr>
      <w:r>
        <w:rPr>
          <w:rFonts w:ascii="Times New Roman" w:hAnsi="Times New Roman"/>
          <w:b/>
          <w:color w:val="000000"/>
          <w:sz w:val="18"/>
        </w:rPr>
        <w:t>(</w:t>
      </w:r>
      <w:r>
        <w:rPr>
          <w:rFonts w:ascii="Times New Roman" w:hAnsi="Times New Roman"/>
          <w:color w:val="000000"/>
          <w:sz w:val="18"/>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(817) 870-2601</w:t>
      </w:r>
      <w:r>
        <w:rPr>
          <w:rFonts w:ascii="Times New Roman" w:hAnsi="Times New Roman"/>
          <w:color w:val="000000"/>
          <w:sz w:val="20"/>
        </w:rPr>
        <w:t xml:space="preserve"> </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left"/>
        <w:rPr/>
      </w:pPr>
      <w:r>
        <w:rPr/>
        <w:t> </w:t>
      </w:r>
    </w:p>
    <w:p>
      <w:pPr>
        <w:pStyle w:val="TextBody"/>
        <w:bidi w:val="0"/>
        <w:jc w:val="center"/>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255" w:type="dxa"/>
        <w:jc w:val="left"/>
        <w:tblInd w:w="0" w:type="dxa"/>
        <w:tblLayout w:type="fixed"/>
        <w:tblCellMar>
          <w:top w:w="28" w:type="dxa"/>
          <w:left w:w="28" w:type="dxa"/>
          <w:bottom w:w="28" w:type="dxa"/>
          <w:right w:w="28" w:type="dxa"/>
        </w:tblCellMar>
      </w:tblPr>
      <w:tblGrid>
        <w:gridCol w:w="2596"/>
        <w:gridCol w:w="146"/>
        <w:gridCol w:w="886"/>
        <w:gridCol w:w="146"/>
        <w:gridCol w:w="348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100" w:after="283"/>
        <w:jc w:val="center"/>
        <w:rPr/>
      </w:pPr>
      <w:r>
        <w:rPr/>
        <w:t> </w:t>
      </w:r>
    </w:p>
    <w:p>
      <w:pPr>
        <w:pStyle w:val="TextBody"/>
        <w:bidi w:val="0"/>
        <w:jc w:val="left"/>
        <w:rPr/>
      </w:pPr>
      <w:r>
        <w:rPr/>
        <w:t>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jc w:val="center"/>
        <w:rPr>
          <w:rFonts w:ascii="Times New Roman" w:hAnsi="Times New Roman"/>
          <w:color w:val="000000"/>
          <w:sz w:val="20"/>
        </w:rPr>
      </w:pPr>
      <w:r>
        <w:rPr>
          <w:rFonts w:ascii="Times New Roman" w:hAnsi="Times New Roman"/>
          <w:color w:val="000000"/>
          <w:sz w:val="20"/>
        </w:rPr>
        <w:t xml:space="preserve">Yes  No ☐ </w:t>
      </w:r>
    </w:p>
    <w:p>
      <w:pPr>
        <w:pStyle w:val="TextBody"/>
        <w:bidi w:val="0"/>
        <w:spacing w:before="6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jc w:val="center"/>
        <w:rPr>
          <w:rFonts w:ascii="Times New Roman" w:hAnsi="Times New Roman"/>
          <w:color w:val="000000"/>
          <w:sz w:val="20"/>
        </w:rPr>
      </w:pPr>
      <w:r>
        <w:rPr>
          <w:rFonts w:ascii="Times New Roman" w:hAnsi="Times New Roman"/>
          <w:color w:val="000000"/>
          <w:sz w:val="20"/>
        </w:rPr>
        <w:t xml:space="preserve">Yes  No ☐ </w:t>
      </w:r>
    </w:p>
    <w:p>
      <w:pPr>
        <w:pStyle w:val="TextBody"/>
        <w:bidi w:val="0"/>
        <w:spacing w:before="0" w:after="12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71" w:type="dxa"/>
        <w:jc w:val="left"/>
        <w:tblInd w:w="0" w:type="dxa"/>
        <w:tblLayout w:type="fixed"/>
        <w:tblCellMar>
          <w:top w:w="28" w:type="dxa"/>
          <w:left w:w="28" w:type="dxa"/>
          <w:bottom w:w="28" w:type="dxa"/>
          <w:right w:w="28" w:type="dxa"/>
        </w:tblCellMar>
      </w:tblPr>
      <w:tblGrid>
        <w:gridCol w:w="2011"/>
        <w:gridCol w:w="146"/>
        <w:gridCol w:w="376"/>
        <w:gridCol w:w="2431"/>
        <w:gridCol w:w="146"/>
        <w:gridCol w:w="36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60"/>
        <w:jc w:val="left"/>
        <w:rPr/>
      </w:pPr>
      <w:r>
        <w:rPr/>
        <w:t> </w:t>
      </w:r>
    </w:p>
    <w:tbl>
      <w:tblPr>
        <w:tblW w:w="10205" w:type="dxa"/>
        <w:jc w:val="left"/>
        <w:tblInd w:w="0" w:type="dxa"/>
        <w:tblLayout w:type="fixed"/>
        <w:tblCellMar>
          <w:top w:w="28" w:type="dxa"/>
          <w:left w:w="28" w:type="dxa"/>
          <w:bottom w:w="28" w:type="dxa"/>
          <w:right w:w="28" w:type="dxa"/>
        </w:tblCellMar>
      </w:tblPr>
      <w:tblGrid>
        <w:gridCol w:w="9735"/>
        <w:gridCol w:w="109"/>
        <w:gridCol w:w="361"/>
      </w:tblGrid>
      <w:tr>
        <w:trPr/>
        <w:tc>
          <w:tcPr>
            <w:tcW w:w="9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735"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w:t>
      </w:r>
    </w:p>
    <w:p>
      <w:pPr>
        <w:pStyle w:val="TextBody"/>
        <w:bidi w:val="0"/>
        <w:spacing w:before="60" w:after="60"/>
        <w:jc w:val="center"/>
        <w:rPr>
          <w:rFonts w:ascii="Times New Roman" w:hAnsi="Times New Roman"/>
          <w:color w:val="000000"/>
          <w:sz w:val="20"/>
        </w:rPr>
      </w:pPr>
      <w:r>
        <w:rPr>
          <w:rFonts w:ascii="Times New Roman" w:hAnsi="Times New Roman"/>
          <w:color w:val="000000"/>
          <w:sz w:val="20"/>
        </w:rPr>
        <w:t>Yes ☐ No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233,679,515 shares of common stock were outstanding on July 17, 2026.</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Quarter Ended June 30, 2026</w:t>
      </w:r>
    </w:p>
    <w:p>
      <w:pPr>
        <w:pStyle w:val="TextBody"/>
        <w:bidi w:val="0"/>
        <w:spacing w:before="360" w:after="283"/>
        <w:jc w:val="left"/>
        <w:rPr>
          <w:rFonts w:ascii="Times New Roman" w:hAnsi="Times New Roman"/>
          <w:sz w:val="20"/>
        </w:rPr>
      </w:pPr>
      <w:r>
        <w:rPr>
          <w:rFonts w:ascii="Times New Roman" w:hAnsi="Times New Roman"/>
          <w:i/>
          <w:color w:val="000000"/>
          <w:sz w:val="20"/>
        </w:rPr>
        <w:t>Unless the context otherwise indicates, all references in this report to "Range Resources," "Range," "we," "us," or "our" are to Range Resources Corporation and its directly and indirectly owned subsidiaries</w:t>
      </w:r>
      <w:r>
        <w:rPr>
          <w:rFonts w:ascii="Times New Roman" w:hAnsi="Times New Roman"/>
          <w:color w:val="000000"/>
          <w:sz w:val="20"/>
        </w:rPr>
        <w:t xml:space="preserve">. </w:t>
      </w:r>
      <w:r>
        <w:rPr>
          <w:rFonts w:ascii="Times New Roman" w:hAnsi="Times New Roman"/>
          <w:i/>
          <w:color w:val="000000"/>
          <w:sz w:val="20"/>
        </w:rPr>
        <w:t>For certain industry-specific terms used in this Form 10-Q, please see "Glossary of Certain Defined Terms" in our 2025 Annual Report on Form 10-K.</w:t>
      </w:r>
    </w:p>
    <w:p>
      <w:pPr>
        <w:pStyle w:val="TextBody"/>
        <w:bidi w:val="0"/>
        <w:spacing w:before="360" w:after="36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44" w:type="dxa"/>
        <w:jc w:val="left"/>
        <w:tblInd w:w="0" w:type="dxa"/>
        <w:tblLayout w:type="fixed"/>
        <w:tblCellMar>
          <w:top w:w="28" w:type="dxa"/>
          <w:left w:w="28" w:type="dxa"/>
          <w:bottom w:w="28" w:type="dxa"/>
          <w:right w:w="28" w:type="dxa"/>
        </w:tblCellMar>
      </w:tblPr>
      <w:tblGrid>
        <w:gridCol w:w="931"/>
        <w:gridCol w:w="290"/>
        <w:gridCol w:w="7366"/>
        <w:gridCol w:w="146"/>
        <w:gridCol w:w="511"/>
      </w:tblGrid>
      <w:tr>
        <w:trPr/>
        <w:tc>
          <w:tcPr>
            <w:tcW w:w="9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87" w:type="dxa"/>
            <w:gridSpan w:val="3"/>
            <w:tcBorders/>
            <w:tcMar>
              <w:top w:w="0" w:type="dxa"/>
              <w:left w:w="0" w:type="dxa"/>
              <w:bottom w:w="0" w:type="dxa"/>
              <w:right w:w="0" w:type="dxa"/>
            </w:tcMar>
            <w:vAlign w:val="center"/>
          </w:tcPr>
          <w:p>
            <w:pPr>
              <w:pStyle w:val="TableContents"/>
              <w:bidi w:val="0"/>
              <w:spacing w:before="120" w:after="283"/>
              <w:jc w:val="left"/>
              <w:rPr/>
            </w:pPr>
            <w:hyperlink w:anchor="part_1_financial_information">
              <w:r>
                <w:rPr>
                  <w:rStyle w:val="InternetLink"/>
                  <w:rFonts w:ascii="Times New Roman" w:hAnsi="Times New Roman"/>
                  <w:b/>
                  <w:color w:val="0000FF"/>
                  <w:sz w:val="20"/>
                  <w:u w:val="single"/>
                </w:rPr>
                <w:t>PART I – FINANCIAL INFORMATION</w:t>
              </w:r>
            </w:hyperlink>
            <w:hyperlink w:anchor="part_1_financial_informatio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financial_statements">
              <w:r>
                <w:rPr>
                  <w:rStyle w:val="InternetLink"/>
                  <w:rFonts w:ascii="Times New Roman" w:hAnsi="Times New Roman"/>
                  <w:color w:val="0000FF"/>
                  <w:sz w:val="20"/>
                  <w:u w:val="single"/>
                </w:rPr>
                <w:t>Financial Statements</w:t>
              </w:r>
            </w:hyperlink>
            <w:r>
              <w:rPr>
                <w:rFonts w:ascii="Times New Roman" w:hAnsi="Times New Roman"/>
                <w:color w:val="0000FF"/>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tatements_of_operations">
              <w:r>
                <w:rPr>
                  <w:rStyle w:val="InternetLink"/>
                  <w:rFonts w:ascii="Times New Roman" w:hAnsi="Times New Roman"/>
                  <w:color w:val="0000FF"/>
                  <w:sz w:val="20"/>
                  <w:u w:val="single"/>
                </w:rPr>
                <w:t>Consolidated Statements of Income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tatements_comprehensive_income">
              <w:r>
                <w:rPr>
                  <w:rStyle w:val="InternetLink"/>
                  <w:rFonts w:ascii="Times New Roman" w:hAnsi="Times New Roman"/>
                  <w:color w:val="0000FF"/>
                  <w:sz w:val="20"/>
                  <w:u w:val="single"/>
                </w:rPr>
                <w:t>Consolidated Statements of Comprehensive Income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solidated_statements_of_cash_flows">
              <w:r>
                <w:rPr>
                  <w:rStyle w:val="InternetLink"/>
                  <w:rFonts w:ascii="Times New Roman" w:hAnsi="Times New Roman"/>
                  <w:color w:val="0000FF"/>
                  <w:sz w:val="20"/>
                  <w:u w:val="single"/>
                </w:rPr>
                <w:t>Consolidated Statements of Cash Flows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consolidated_statements_equity">
              <w:r>
                <w:rPr>
                  <w:rStyle w:val="InternetLink"/>
                  <w:rFonts w:ascii="Times New Roman" w:hAnsi="Times New Roman"/>
                  <w:color w:val="0000FF"/>
                  <w:sz w:val="20"/>
                  <w:u w:val="single"/>
                </w:rPr>
                <w:t>Consolidated Statements of Stockholders’ Equity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notes_to_consolidated_financial_state">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_2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17</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29</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30</w:t>
            </w:r>
          </w:p>
        </w:tc>
      </w:tr>
      <w:tr>
        <w:trPr/>
        <w:tc>
          <w:tcPr>
            <w:tcW w:w="8587" w:type="dxa"/>
            <w:gridSpan w:val="3"/>
            <w:tcBorders/>
            <w:tcMar>
              <w:top w:w="0" w:type="dxa"/>
              <w:left w:w="0" w:type="dxa"/>
              <w:bottom w:w="0" w:type="dxa"/>
              <w:right w:w="0" w:type="dxa"/>
            </w:tcMar>
            <w:vAlign w:val="center"/>
          </w:tcPr>
          <w:p>
            <w:pPr>
              <w:pStyle w:val="TableContents"/>
              <w:bidi w:val="0"/>
              <w:spacing w:before="120" w:after="283"/>
              <w:jc w:val="left"/>
              <w:rPr/>
            </w:pPr>
            <w:r>
              <w:rPr/>
              <w:t> </w:t>
            </w:r>
          </w:p>
          <w:p>
            <w:pPr>
              <w:pStyle w:val="TableContents"/>
              <w:bidi w:val="0"/>
              <w:spacing w:before="120" w:after="283"/>
              <w:jc w:val="left"/>
              <w:rPr/>
            </w:pPr>
            <w:hyperlink w:anchor="part_ii">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31</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31</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290"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31</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290"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_5_other_information">
              <w:r>
                <w:rPr>
                  <w:rStyle w:val="InternetLink"/>
                  <w:rFonts w:ascii="Times New Roman" w:hAnsi="Times New Roman"/>
                  <w:color w:val="0000FF"/>
                  <w:sz w:val="20"/>
                  <w:u w:val="single"/>
                </w:rPr>
                <w:t>Other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31</w:t>
            </w:r>
          </w:p>
        </w:tc>
      </w:tr>
      <w:tr>
        <w:trPr/>
        <w:tc>
          <w:tcPr>
            <w:tcW w:w="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item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32</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6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bookmarkStart w:id="2" w:name="part_1_financial_information"/>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bookmarkStart w:id="3" w:name="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tbl>
      <w:tblPr>
        <w:tblW w:w="10205" w:type="dxa"/>
        <w:jc w:val="left"/>
        <w:tblInd w:w="0" w:type="dxa"/>
        <w:tblLayout w:type="fixed"/>
        <w:tblCellMar>
          <w:top w:w="28" w:type="dxa"/>
          <w:left w:w="28" w:type="dxa"/>
          <w:bottom w:w="28" w:type="dxa"/>
          <w:right w:w="28" w:type="dxa"/>
        </w:tblCellMar>
      </w:tblPr>
      <w:tblGrid>
        <w:gridCol w:w="6998"/>
        <w:gridCol w:w="211"/>
        <w:gridCol w:w="931"/>
        <w:gridCol w:w="166"/>
        <w:gridCol w:w="146"/>
        <w:gridCol w:w="211"/>
        <w:gridCol w:w="931"/>
        <w:gridCol w:w="611"/>
      </w:tblGrid>
      <w:tr>
        <w:trPr/>
        <w:tc>
          <w:tcPr>
            <w:tcW w:w="6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less allowance for doubtful accounts of $248 and $248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NGLs and oil properties, net (successful efforts method)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6,708,366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7,421,948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retirement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661,152</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debt, net of unamortized debt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 net of unamortized debt issuance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1,091,634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Divestiture contract obligation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$1 par, 10,000,000 shares authorized, none issued and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$0.01 par, 475,000,000 shares authorized, 269,589,292 issued as of </w:t>
              <w:br/>
              <w:t>   June 30, 2026 and 268,573,212 shares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held in treasury, at cost, 35,915,000 shares as of June 30, 2026 and </w:t>
              <w:br/>
              <w:t>   33,115,000 shares as of December 31,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5,971,258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(909,201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4,318,681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7,421,948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6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20"/>
        </w:rPr>
        <w:t>CONSOLIDATED STATEMENTS OF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 in thousands, except per share data)</w:t>
      </w:r>
      <w:r>
        <w:rPr>
          <w:rFonts w:ascii="Times New Roman" w:hAnsi="Times New Roman"/>
          <w:color w:val="000000"/>
          <w:sz w:val="20"/>
        </w:rPr>
        <w:t xml:space="preserve"> </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04"/>
        <w:gridCol w:w="222"/>
        <w:gridCol w:w="824"/>
        <w:gridCol w:w="174"/>
        <w:gridCol w:w="153"/>
        <w:gridCol w:w="222"/>
        <w:gridCol w:w="824"/>
        <w:gridCol w:w="166"/>
        <w:gridCol w:w="146"/>
        <w:gridCol w:w="211"/>
        <w:gridCol w:w="931"/>
        <w:gridCol w:w="146"/>
        <w:gridCol w:w="146"/>
        <w:gridCol w:w="211"/>
        <w:gridCol w:w="931"/>
        <w:gridCol w:w="594"/>
      </w:tblGrid>
      <w:tr>
        <w:trPr/>
        <w:tc>
          <w:tcPr>
            <w:tcW w:w="43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NGLs and oil sales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702,087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1,458,558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income (loss)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Brokered natural gas, NGLs and marketing</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 and other income</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1,546,829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operating</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Transportation, gathering, processing and compression</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610,823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other than income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Brokered natural gas, NGLs and marketing</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Exploration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Exit costs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plan</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early extinguishment of debt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Depletion, depreciation and amortization</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584,944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1,135,052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248,627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411,777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50,675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334,630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common share:</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Dividends declared per share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240,772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6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RANGE RESOURCES CORPORATION</w:t>
      </w:r>
    </w:p>
    <w:p>
      <w:pPr>
        <w:pStyle w:val="TextBody"/>
        <w:bidi w:val="0"/>
        <w:jc w:val="center"/>
        <w:rPr>
          <w:rFonts w:ascii="Times New Roman" w:hAnsi="Times New Roman"/>
          <w:b/>
          <w:color w:val="000000"/>
          <w:sz w:val="20"/>
        </w:rPr>
      </w:pPr>
      <w:bookmarkStart w:id="6" w:name="statements_comprehensive_income"/>
      <w:bookmarkEnd w:id="6"/>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w:t>
      </w:r>
    </w:p>
    <w:p>
      <w:pPr>
        <w:pStyle w:val="TextBody"/>
        <w:bidi w:val="0"/>
        <w:spacing w:before="360" w:after="283"/>
        <w:jc w:val="left"/>
        <w:rPr/>
      </w:pPr>
      <w:r>
        <w:rPr/>
        <w:t> </w:t>
      </w:r>
    </w:p>
    <w:tbl>
      <w:tblPr>
        <w:tblW w:w="10143" w:type="dxa"/>
        <w:jc w:val="left"/>
        <w:tblInd w:w="0" w:type="dxa"/>
        <w:tblLayout w:type="fixed"/>
        <w:tblCellMar>
          <w:top w:w="28" w:type="dxa"/>
          <w:left w:w="28" w:type="dxa"/>
          <w:bottom w:w="28" w:type="dxa"/>
          <w:right w:w="28" w:type="dxa"/>
        </w:tblCellMar>
      </w:tblPr>
      <w:tblGrid>
        <w:gridCol w:w="4481"/>
        <w:gridCol w:w="224"/>
        <w:gridCol w:w="832"/>
        <w:gridCol w:w="176"/>
        <w:gridCol w:w="155"/>
        <w:gridCol w:w="224"/>
        <w:gridCol w:w="832"/>
        <w:gridCol w:w="166"/>
        <w:gridCol w:w="146"/>
        <w:gridCol w:w="211"/>
        <w:gridCol w:w="781"/>
        <w:gridCol w:w="166"/>
        <w:gridCol w:w="146"/>
        <w:gridCol w:w="211"/>
        <w:gridCol w:w="781"/>
        <w:gridCol w:w="611"/>
      </w:tblGrid>
      <w:tr>
        <w:trPr/>
        <w:tc>
          <w:tcPr>
            <w:tcW w:w="448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Postretirement benefits:</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prior service costs/actuarial gain</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334,601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120" w:after="6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of_cash_flows"/>
      <w:bookmarkEnd w:id="7"/>
      <w:r>
        <w:rPr>
          <w:rFonts w:ascii="Times New Roman" w:hAnsi="Times New Roman"/>
          <w:b/>
          <w:color w:val="000000"/>
          <w:sz w:val="20"/>
        </w:rPr>
        <w:t>CO</w:t>
      </w:r>
      <w:bookmarkStart w:id="8" w:name="cash_flows"/>
      <w:bookmarkEnd w:id="8"/>
      <w:r>
        <w:rPr>
          <w:rFonts w:ascii="Times New Roman" w:hAnsi="Times New Roman"/>
          <w:b/>
          <w:color w:val="000000"/>
          <w:sz w:val="20"/>
        </w:rPr>
        <w:t>NSOLIDATED STATEMENTS OF CASH FLOWS</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20"/>
        </w:rPr>
        <w:t>(Unaudited, in thousands)</w:t>
      </w:r>
      <w:r>
        <w:rPr>
          <w:rFonts w:ascii="Times New Roman" w:hAnsi="Times New Roman"/>
          <w:color w:val="000000"/>
          <w:sz w:val="20"/>
        </w:rPr>
        <w:t xml:space="preserve"> </w:t>
      </w:r>
    </w:p>
    <w:p>
      <w:pPr>
        <w:pStyle w:val="TextBody"/>
        <w:bidi w:val="0"/>
        <w:jc w:val="left"/>
        <w:rPr/>
      </w:pPr>
      <w:r>
        <w:rPr/>
        <w:t> </w:t>
      </w:r>
    </w:p>
    <w:tbl>
      <w:tblPr>
        <w:tblW w:w="9713" w:type="dxa"/>
        <w:jc w:val="left"/>
        <w:tblInd w:w="0" w:type="dxa"/>
        <w:tblLayout w:type="fixed"/>
        <w:tblCellMar>
          <w:top w:w="28" w:type="dxa"/>
          <w:left w:w="28" w:type="dxa"/>
          <w:bottom w:w="28" w:type="dxa"/>
          <w:right w:w="28" w:type="dxa"/>
        </w:tblCellMar>
      </w:tblPr>
      <w:tblGrid>
        <w:gridCol w:w="6336"/>
        <w:gridCol w:w="211"/>
        <w:gridCol w:w="991"/>
        <w:gridCol w:w="166"/>
        <w:gridCol w:w="146"/>
        <w:gridCol w:w="211"/>
        <w:gridCol w:w="841"/>
        <w:gridCol w:w="811"/>
      </w:tblGrid>
      <w:tr>
        <w:trPr/>
        <w:tc>
          <w:tcPr>
            <w:tcW w:w="6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from</w:t>
              <w:br/>
              <w:t>          operating activities: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Depletion, 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Abandonment and impairment of unproved properties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fair value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settlements on derivative financial instruments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Divestiture contract obligation, including accretion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and 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the sale of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early extinguishment of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working capital:</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from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666,273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natural gas, NGLs and oil properties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field service assets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Acreage 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disposal of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 held by the deferred compensation plan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sales of marketable securities held by the deferred</w:t>
              <w:br/>
              <w:t>   compensation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credit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senior notes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for employee shares withheld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cash overdrafts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Proceeds from the sales of common stock held by the deferred </w:t>
              <w:br/>
              <w:t>  compensation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(658,304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(decrease)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center"/>
        <w:rPr/>
      </w:pPr>
      <w:r>
        <w:rPr/>
        <w:t> </w:t>
      </w:r>
    </w:p>
    <w:p>
      <w:pPr>
        <w:pStyle w:val="TextBody"/>
        <w:bidi w:val="0"/>
        <w:spacing w:before="120" w:after="6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solidated_statements_equity"/>
      <w:bookmarkEnd w:id="9"/>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spacing w:before="0" w:after="270"/>
        <w:jc w:val="center"/>
        <w:rPr>
          <w:rFonts w:ascii="Times New Roman" w:hAnsi="Times New Roman"/>
          <w:b/>
          <w:color w:val="000000"/>
          <w:sz w:val="20"/>
        </w:rPr>
      </w:pPr>
      <w:r>
        <w:rPr>
          <w:rFonts w:ascii="Times New Roman" w:hAnsi="Times New Roman"/>
          <w:b/>
          <w:color w:val="000000"/>
          <w:sz w:val="20"/>
        </w:rPr>
        <w:t>(Unaudited, in thousands, except per share data)</w:t>
      </w:r>
    </w:p>
    <w:tbl>
      <w:tblPr>
        <w:tblW w:w="11066" w:type="dxa"/>
        <w:jc w:val="left"/>
        <w:tblInd w:w="0" w:type="dxa"/>
        <w:tblLayout w:type="fixed"/>
        <w:tblCellMar>
          <w:top w:w="28" w:type="dxa"/>
          <w:left w:w="28" w:type="dxa"/>
          <w:bottom w:w="28" w:type="dxa"/>
          <w:right w:w="28" w:type="dxa"/>
        </w:tblCellMar>
      </w:tblPr>
      <w:tblGrid>
        <w:gridCol w:w="1271"/>
        <w:gridCol w:w="146"/>
        <w:gridCol w:w="691"/>
        <w:gridCol w:w="146"/>
        <w:gridCol w:w="146"/>
        <w:gridCol w:w="196"/>
        <w:gridCol w:w="511"/>
        <w:gridCol w:w="146"/>
        <w:gridCol w:w="146"/>
        <w:gridCol w:w="146"/>
        <w:gridCol w:w="661"/>
        <w:gridCol w:w="166"/>
        <w:gridCol w:w="146"/>
        <w:gridCol w:w="196"/>
        <w:gridCol w:w="751"/>
        <w:gridCol w:w="166"/>
        <w:gridCol w:w="146"/>
        <w:gridCol w:w="196"/>
        <w:gridCol w:w="826"/>
        <w:gridCol w:w="166"/>
        <w:gridCol w:w="146"/>
        <w:gridCol w:w="359"/>
        <w:gridCol w:w="692"/>
        <w:gridCol w:w="166"/>
        <w:gridCol w:w="146"/>
        <w:gridCol w:w="196"/>
        <w:gridCol w:w="751"/>
        <w:gridCol w:w="166"/>
        <w:gridCol w:w="146"/>
        <w:gridCol w:w="196"/>
        <w:gridCol w:w="826"/>
        <w:gridCol w:w="311"/>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held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(746,486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(909,201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4,318,681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(19,440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w:t>
              <w:br/>
              <w:t>   vesting of TSRs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($0.10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(23,771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341,630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269,537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(773,610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4,602,394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($0.10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(23,634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(78,352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Excise tax on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195,323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269,589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5,978,163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(419,878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4,708,749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center"/>
        <w:rPr/>
      </w:pPr>
      <w:r>
        <w:rPr/>
        <w:t> </w:t>
      </w:r>
    </w:p>
    <w:tbl>
      <w:tblPr>
        <w:tblW w:w="11201" w:type="dxa"/>
        <w:jc w:val="left"/>
        <w:tblInd w:w="0" w:type="dxa"/>
        <w:tblLayout w:type="fixed"/>
        <w:tblCellMar>
          <w:top w:w="28" w:type="dxa"/>
          <w:left w:w="28" w:type="dxa"/>
          <w:bottom w:w="28" w:type="dxa"/>
          <w:right w:w="28" w:type="dxa"/>
        </w:tblCellMar>
      </w:tblPr>
      <w:tblGrid>
        <w:gridCol w:w="1271"/>
        <w:gridCol w:w="146"/>
        <w:gridCol w:w="691"/>
        <w:gridCol w:w="146"/>
        <w:gridCol w:w="146"/>
        <w:gridCol w:w="196"/>
        <w:gridCol w:w="511"/>
        <w:gridCol w:w="146"/>
        <w:gridCol w:w="146"/>
        <w:gridCol w:w="146"/>
        <w:gridCol w:w="661"/>
        <w:gridCol w:w="166"/>
        <w:gridCol w:w="146"/>
        <w:gridCol w:w="196"/>
        <w:gridCol w:w="751"/>
        <w:gridCol w:w="166"/>
        <w:gridCol w:w="146"/>
        <w:gridCol w:w="196"/>
        <w:gridCol w:w="826"/>
        <w:gridCol w:w="166"/>
        <w:gridCol w:w="146"/>
        <w:gridCol w:w="359"/>
        <w:gridCol w:w="692"/>
        <w:gridCol w:w="166"/>
        <w:gridCol w:w="146"/>
        <w:gridCol w:w="196"/>
        <w:gridCol w:w="886"/>
        <w:gridCol w:w="166"/>
        <w:gridCol w:w="146"/>
        <w:gridCol w:w="196"/>
        <w:gridCol w:w="826"/>
        <w:gridCol w:w="311"/>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held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5,927,893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(1,480,580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3,936,657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(16,345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br/>
              <w:t>   upon vesting of TSRs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($0.09</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(67,477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Excise tax on 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(581,822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5,923,531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(1,405,630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3,939,361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Dividends ($0.09</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issuance - Rabbi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(52,881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Excise tax on stock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r>
      <w:tr>
        <w:trPr/>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237,578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(635,181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5,948,260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(1,189,653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4,126,694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60"/>
        <w:jc w:val="center"/>
        <w:rPr>
          <w:rFonts w:ascii="Times New Roman" w:hAnsi="Times New Roman"/>
          <w:b/>
          <w:color w:val="000000"/>
          <w:sz w:val="20"/>
        </w:rPr>
      </w:pPr>
      <w:r>
        <w:rPr>
          <w:rFonts w:ascii="Times New Roman" w:hAnsi="Times New Roman"/>
          <w:b/>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RANGE RESOURCES CORPORATION</w:t>
      </w:r>
      <w:r>
        <w:rPr>
          <w:rFonts w:ascii="Times New Roman" w:hAnsi="Times New Roman"/>
          <w:color w:val="000000"/>
          <w:sz w:val="20"/>
        </w:rPr>
        <w:t xml:space="preserve"> </w:t>
      </w:r>
    </w:p>
    <w:p>
      <w:pPr>
        <w:pStyle w:val="TextBody"/>
        <w:bidi w:val="0"/>
        <w:spacing w:before="180" w:after="360"/>
        <w:jc w:val="center"/>
        <w:rPr>
          <w:rFonts w:ascii="Times New Roman" w:hAnsi="Times New Roman"/>
          <w:sz w:val="20"/>
        </w:rPr>
      </w:pPr>
      <w:bookmarkStart w:id="10" w:name="notes_to_consolidated_financial_state"/>
      <w:bookmarkEnd w:id="10"/>
      <w:r>
        <w:rPr>
          <w:rFonts w:ascii="Times New Roman" w:hAnsi="Times New Roman"/>
          <w:b/>
          <w:color w:val="000000"/>
          <w:sz w:val="20"/>
        </w:rPr>
        <w:t>NOTES</w:t>
      </w:r>
      <w:r>
        <w:rPr>
          <w:rFonts w:ascii="Times New Roman" w:hAnsi="Times New Roman"/>
          <w:color w:val="000000"/>
          <w:sz w:val="20"/>
        </w:rPr>
        <w:t xml:space="preserve"> </w:t>
      </w:r>
      <w:r>
        <w:rPr>
          <w:rFonts w:ascii="Times New Roman" w:hAnsi="Times New Roman"/>
          <w:b/>
          <w:color w:val="000000"/>
          <w:sz w:val="20"/>
        </w:rPr>
        <w:t>TO CONSOLIDATED FINANCIAL STATEMENTS (UNAUDITED)</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bookmarkStart w:id="11" w:name="note_1"/>
      <w:bookmarkEnd w:id="11"/>
      <w:r>
        <w:rPr>
          <w:rFonts w:ascii="Times New Roman" w:hAnsi="Times New Roman"/>
          <w:b/>
          <w:color w:val="000000"/>
          <w:sz w:val="20"/>
        </w:rPr>
        <w:t>(1) BASIS OF FINANCIAL STATEMENT PRESENTATION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Range Resources Corporation ("Range" or "the Company") is an independent natural gas, natural gas liquids ("NGLs") and oil (predominantly condensate referred to herein as "oil") company engaged in the exploration, development and acquisition of natural gas and liquids properties in the Appalachian region of the United States.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During interim periods, the Company follows the same accounting policies disclosed in its Annual Report on Form 10-K for the year ended December 31, 2025 filed with the SEC on February 24, 2026 (the "Form 10-K"). The balance sheet as of June 30, 2026 and the related consolidated statements of income, comprehensive income, cash flows and stockholders' equity for the periods ended June 30, 2026 and 2025 are unaudited and should be read in conjunction with the Notes to the Consolidated Financial Statements and information presented in the Form 10-K. In management's opinion, the accompanying consolidated financial statements reflect all adjustments necessary for a fair statement of the results for the periods reported. All adjustments are of a normal recurring nature unless otherwise disclosed. The results of operations for any interim period are not necessarily indicative of the results to be expected for the full year.</w:t>
      </w:r>
    </w:p>
    <w:p>
      <w:pPr>
        <w:pStyle w:val="TextBody"/>
        <w:bidi w:val="0"/>
        <w:spacing w:before="0" w:after="180"/>
        <w:jc w:val="left"/>
        <w:rPr>
          <w:rFonts w:ascii="Times New Roman" w:hAnsi="Times New Roman"/>
          <w:b/>
          <w:color w:val="000000"/>
          <w:sz w:val="20"/>
        </w:rPr>
      </w:pPr>
      <w:bookmarkStart w:id="12" w:name="note_2"/>
      <w:bookmarkEnd w:id="12"/>
      <w:r>
        <w:rPr>
          <w:rFonts w:ascii="Times New Roman" w:hAnsi="Times New Roman"/>
          <w:b/>
          <w:color w:val="000000"/>
          <w:sz w:val="20"/>
        </w:rPr>
        <w:t>(2) REVENUES FROM CONTRACTS WITH CUSTOMERS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of the Company's revenues from contracts with customers have title transfer in the United States ("U.S.") and are recognized at the point in time when control is transferred to the customer and collectability is reasonably assured. Accounts receivable attributable to our revenue contracts with customers was $284.2 million as of June 30, 2026 and $354.9 million as of December 31, 2025. Revenue attributable to each of our identified revenue streams is disaggregated below (in thousands):</w:t>
      </w:r>
    </w:p>
    <w:tbl>
      <w:tblPr>
        <w:tblW w:w="9177" w:type="dxa"/>
        <w:jc w:val="left"/>
        <w:tblInd w:w="0" w:type="dxa"/>
        <w:tblLayout w:type="fixed"/>
        <w:tblCellMar>
          <w:top w:w="28" w:type="dxa"/>
          <w:left w:w="28" w:type="dxa"/>
          <w:bottom w:w="28" w:type="dxa"/>
          <w:right w:w="28" w:type="dxa"/>
        </w:tblCellMar>
      </w:tblPr>
      <w:tblGrid>
        <w:gridCol w:w="3456"/>
        <w:gridCol w:w="226"/>
        <w:gridCol w:w="839"/>
        <w:gridCol w:w="156"/>
        <w:gridCol w:w="156"/>
        <w:gridCol w:w="226"/>
        <w:gridCol w:w="839"/>
        <w:gridCol w:w="166"/>
        <w:gridCol w:w="146"/>
        <w:gridCol w:w="211"/>
        <w:gridCol w:w="931"/>
        <w:gridCol w:w="146"/>
        <w:gridCol w:w="146"/>
        <w:gridCol w:w="211"/>
        <w:gridCol w:w="93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sales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339,796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NGLs sales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sales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natural gas, NGLs and oil sales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natural gas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purchased NGLs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marketing revenue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759,583</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80"/>
        <w:jc w:val="left"/>
        <w:rPr>
          <w:rFonts w:ascii="Times New Roman" w:hAnsi="Times New Roman"/>
          <w:b/>
          <w:color w:val="000000"/>
          <w:sz w:val="20"/>
        </w:rPr>
      </w:pPr>
      <w:bookmarkStart w:id="13" w:name="note_3"/>
      <w:bookmarkEnd w:id="13"/>
      <w:r>
        <w:rPr>
          <w:rFonts w:ascii="Times New Roman" w:hAnsi="Times New Roman"/>
          <w:b/>
          <w:color w:val="000000"/>
          <w:sz w:val="20"/>
        </w:rPr>
        <w:t>(3) INCOME TAXES</w:t>
      </w:r>
    </w:p>
    <w:p>
      <w:pPr>
        <w:pStyle w:val="TextBody"/>
        <w:bidi w:val="0"/>
        <w:jc w:val="left"/>
        <w:rPr>
          <w:rFonts w:ascii="Times New Roman" w:hAnsi="Times New Roman"/>
          <w:color w:val="000000"/>
          <w:sz w:val="20"/>
        </w:rPr>
      </w:pPr>
      <w:r>
        <w:rPr>
          <w:rFonts w:ascii="Times New Roman" w:hAnsi="Times New Roman"/>
          <w:color w:val="000000"/>
          <w:sz w:val="20"/>
        </w:rPr>
        <w:t xml:space="preserve">We evaluate and update our annual effective income tax rate on a quarterly basis based on current and forecasted operating results and tax laws. For the three and six months ended June 30, 2026, our overall effective tax rate was not materially different than the federal statutory rate. For the three and six months ended June 30, 2025, our overall effective tax rate was lower than the federal statutory rate due primarily to tax credits, state income taxes and equity compensation. Our current income taxes reflect estimated state and federal income taxes due for 2026 which are based on our estimated earnings, taking into account all applicable tax rates and laws.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4" w:name="note_4"/>
      <w:bookmarkEnd w:id="14"/>
      <w:r>
        <w:rPr>
          <w:rFonts w:ascii="Times New Roman" w:hAnsi="Times New Roman"/>
          <w:b/>
          <w:color w:val="000000"/>
          <w:sz w:val="20"/>
        </w:rPr>
        <w:t>(4) NET INCOME PER COMMON SHARE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sets forth a reconciliation of net income to basic net income attributable to common shareholders to diluted net income attributable to common shareholders (in thousands, except per share amounts):</w:t>
      </w:r>
    </w:p>
    <w:tbl>
      <w:tblPr>
        <w:tblW w:w="9841" w:type="dxa"/>
        <w:jc w:val="left"/>
        <w:tblInd w:w="0" w:type="dxa"/>
        <w:tblLayout w:type="fixed"/>
        <w:tblCellMar>
          <w:top w:w="28" w:type="dxa"/>
          <w:left w:w="28" w:type="dxa"/>
          <w:bottom w:w="28" w:type="dxa"/>
          <w:right w:w="28" w:type="dxa"/>
        </w:tblCellMar>
      </w:tblPr>
      <w:tblGrid>
        <w:gridCol w:w="4546"/>
        <w:gridCol w:w="211"/>
        <w:gridCol w:w="781"/>
        <w:gridCol w:w="166"/>
        <w:gridCol w:w="146"/>
        <w:gridCol w:w="211"/>
        <w:gridCol w:w="781"/>
        <w:gridCol w:w="166"/>
        <w:gridCol w:w="146"/>
        <w:gridCol w:w="211"/>
        <w:gridCol w:w="781"/>
        <w:gridCol w:w="166"/>
        <w:gridCol w:w="146"/>
        <w:gridCol w:w="211"/>
        <w:gridCol w:w="781"/>
        <w:gridCol w:w="391"/>
      </w:tblGrid>
      <w:tr>
        <w:trPr/>
        <w:tc>
          <w:tcPr>
            <w:tcW w:w="4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as reported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Participating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attributed to common shareholders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Reallocation of participating earnings </w:t>
            </w:r>
            <w:r>
              <w:rPr>
                <w:rFonts w:ascii="Times New Roman" w:hAnsi="Times New Roman"/>
                <w:color w:val="000000"/>
                <w:sz w:val="13"/>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attributed to common shareholders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180"/>
        <w:jc w:val="left"/>
        <w:rPr/>
      </w:pPr>
      <w:r>
        <w:rPr>
          <w:rFonts w:ascii="Times New Roman" w:hAnsi="Times New Roman"/>
          <w:color w:val="000000"/>
          <w:sz w:val="18"/>
        </w:rPr>
        <w:t xml:space="preserve">Restricted Stock Liability Awards (discussed in </w:t>
      </w:r>
      <w:hyperlink w:anchor="note_9">
        <w:r>
          <w:rPr>
            <w:rStyle w:val="InternetLink"/>
            <w:rFonts w:ascii="Times New Roman" w:hAnsi="Times New Roman"/>
            <w:color w:val="0000FF"/>
            <w:sz w:val="18"/>
            <w:u w:val="single"/>
          </w:rPr>
          <w:t>Note 9</w:t>
        </w:r>
      </w:hyperlink>
      <w:r>
        <w:rPr>
          <w:rFonts w:ascii="Times New Roman" w:hAnsi="Times New Roman"/>
          <w:color w:val="000000"/>
          <w:sz w:val="18"/>
        </w:rPr>
        <w:t xml:space="preserve">) that are held in the deferred compensation plan represent participating securities because they participate in non-forfeitable dividends or distributions with common equity owners. Income allocable to participating securities represents the distributed and undistributed earnings attributable to the participating securities. Participating securities, however, do not participate in undistributed net losses.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details weighted average common shares outstanding and diluted weighted average common shares outstanding (in thousands):</w:t>
      </w:r>
    </w:p>
    <w:tbl>
      <w:tblPr>
        <w:tblW w:w="10205" w:type="dxa"/>
        <w:jc w:val="left"/>
        <w:tblInd w:w="0" w:type="dxa"/>
        <w:tblLayout w:type="fixed"/>
        <w:tblCellMar>
          <w:top w:w="28" w:type="dxa"/>
          <w:left w:w="28" w:type="dxa"/>
          <w:bottom w:w="28" w:type="dxa"/>
          <w:right w:w="28" w:type="dxa"/>
        </w:tblCellMar>
      </w:tblPr>
      <w:tblGrid>
        <w:gridCol w:w="5330"/>
        <w:gridCol w:w="146"/>
        <w:gridCol w:w="781"/>
        <w:gridCol w:w="146"/>
        <w:gridCol w:w="146"/>
        <w:gridCol w:w="146"/>
        <w:gridCol w:w="781"/>
        <w:gridCol w:w="146"/>
        <w:gridCol w:w="146"/>
        <w:gridCol w:w="146"/>
        <w:gridCol w:w="781"/>
        <w:gridCol w:w="146"/>
        <w:gridCol w:w="146"/>
        <w:gridCol w:w="146"/>
        <w:gridCol w:w="781"/>
        <w:gridCol w:w="291"/>
      </w:tblGrid>
      <w:tr>
        <w:trPr/>
        <w:tc>
          <w:tcPr>
            <w:tcW w:w="5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Director and employee restricted stock and performance-based equity awards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Weighted average common shares outstanding – basic for second quarter 2026 excludes 247,000 shares of restricted stock held in our deferred compensation plan compared to 617,000 shares in second quarter 2025 (although all awards are issued and outstanding upon grant). Weighted average common shares outstanding – basic for first six months 2026 excludes 257,000 shares of restricted stock held in our deferred compensation plan compared to 679,000 shares in first six months 2025. For the three months ended June 30, 2025, equity grants of 2,000 shares were outstanding but not included in the computation of diluted net income because the grant prices were greater than the average market price of the common shares and would be anti-dilutive to the computation. For the six months ended June 30, 2025, equity grants of 1,000 shares were outstanding but not included in the computation of diluted net income because the grant prices were greater than the average market price of the common shares and would be anti-dilutive to the computation. There were no anti-dilutive shares for the three or six months ended June 30, 2026.</w:t>
      </w:r>
    </w:p>
    <w:p>
      <w:pPr>
        <w:pStyle w:val="TextBody"/>
        <w:bidi w:val="0"/>
        <w:jc w:val="left"/>
        <w:rPr/>
      </w:pPr>
      <w:r>
        <w:rPr/>
        <w:t> </w:t>
      </w:r>
    </w:p>
    <w:p>
      <w:pPr>
        <w:pStyle w:val="TextBody"/>
        <w:bidi w:val="0"/>
        <w:spacing w:before="180" w:after="180"/>
        <w:jc w:val="left"/>
        <w:rPr>
          <w:rFonts w:ascii="Times New Roman" w:hAnsi="Times New Roman"/>
          <w:sz w:val="20"/>
        </w:rPr>
      </w:pPr>
      <w:bookmarkStart w:id="15" w:name="note_5"/>
      <w:bookmarkEnd w:id="15"/>
      <w:r>
        <w:rPr>
          <w:rFonts w:ascii="Times New Roman" w:hAnsi="Times New Roman"/>
          <w:b/>
          <w:color w:val="000000"/>
          <w:sz w:val="20"/>
        </w:rPr>
        <w:t>(5) INDEBTEDNESS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had the following debt outstanding as of the dates shown below (in thousands):</w:t>
      </w:r>
    </w:p>
    <w:tbl>
      <w:tblPr>
        <w:tblW w:w="6608" w:type="dxa"/>
        <w:jc w:val="left"/>
        <w:tblInd w:w="0" w:type="dxa"/>
        <w:tblLayout w:type="fixed"/>
        <w:tblCellMar>
          <w:top w:w="28" w:type="dxa"/>
          <w:left w:w="28" w:type="dxa"/>
          <w:bottom w:w="28" w:type="dxa"/>
          <w:right w:w="28" w:type="dxa"/>
        </w:tblCellMar>
      </w:tblPr>
      <w:tblGrid>
        <w:gridCol w:w="3551"/>
        <w:gridCol w:w="211"/>
        <w:gridCol w:w="781"/>
        <w:gridCol w:w="166"/>
        <w:gridCol w:w="146"/>
        <w:gridCol w:w="211"/>
        <w:gridCol w:w="931"/>
        <w:gridCol w:w="611"/>
      </w:tblGrid>
      <w:tr>
        <w:trPr/>
        <w:tc>
          <w:tcPr>
            <w:tcW w:w="3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Bank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notes: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8.25% senior notes due 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4.75% senior notes due 2030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senior notes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net of debt issuance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No interest was capitalized during the six months ended June 30, 2026 or the year ended December 31, 2025. We were in compliance with applicable covenants under the bank credit facility and our senior notes as of June 30, 2026.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20"/>
        <w:jc w:val="left"/>
        <w:rPr>
          <w:rFonts w:ascii="Times New Roman" w:hAnsi="Times New Roman"/>
          <w:b/>
          <w:color w:val="000000"/>
          <w:sz w:val="20"/>
        </w:rPr>
      </w:pPr>
      <w:r>
        <w:rPr>
          <w:rFonts w:ascii="Times New Roman" w:hAnsi="Times New Roman"/>
          <w:b/>
          <w:color w:val="000000"/>
          <w:sz w:val="20"/>
        </w:rPr>
        <w:t>Bank Debt</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In October 2025, we entered into an amended and restated revolving bank facility (which we refer to as our bank debt or our bank credit facility) which is secured by substantially all of our assets and has a maturity date of October 2, 2030. The bank credit facility provides for a maximum facility amount of $4.0 billion and an initial borrowing base of $3.0 billion and bank commitments totaling $2.0 billion. The bank credit facility is subject to annual re-determinations and event-driven unscheduled re-determinations. As of June 30, 2026, our bank group was composed of seventeen financial institutions. The borrowing base may be increased or decreased based on our request and sufficient proved reserves, as determined by the bank group. The commitment amount may be increased to the borrowing base, subject to payment of a mutually acceptable commitment fee to those banks agreeing to participate in the facility increase. Borrowings under the bank credit facility can either be at the alternate base rate (ABR, as defined in the bank credit facility agreement) plus a spread ranging from 0.75% to 1.75% or at the secured overnight financing rate (SOFR, as defined in the bank credit facility agreement) plus a spread ranging from 1.75% to 2.75%. The applicable spread is dependent upon borrowings relative to the borrowing base. We may elect, from time to time, to convert all or any part of our SOFR loans to base rate loans or to convert all or any part of the base rate loans to SOFR loans. A commitment fee is paid on the undrawn balance based on an annual rate of 0.375% to 0.50%. As of June 30, 2026, the commitment fee was 0.375% and the interest rate margin was 0.75% on our ABR loans and 1.75% on our SOFR loans. The weighted average interest rate was 5.4% for the three months ended June 30, 2026 and 5.6% for the six months ended June 30, 2026 compared to 6.4% for the three and six month periods ended June 30, 2025.</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part of our re-determination completed in March 2026, our borrowing base was reaffirmed at $3.0 billion and our bank commitment was also reaffirmed at $2.0 billion. On June 30, 2026, bank commitments totaled $2.0 billion and we had $381.0 million outstanding on our bank credit facility. Additionally, on June 30, 2026, we had $165.1 million of undrawn letters of credit, leaving approximately $1.5 billion of committed borrowing capacity available under the facility.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Senior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January 2026, we fully redeemed the principal balance of our 8.25% senior notes due 2029 at 101.375% of par by borrowing on our bank credit facility. We recognized a loss on early extinguishment of debt of $12.3 million including the expense of the remaining unamortized debt issuance costs on the 8.25% senior notes.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During the six months ended June 30, 2025, we repurchased in the open market $2.2 million principal amount of our 4.875% senior notes due 2025 at a discount. We recognized a gain on early extinguishment of debt of $3,000 net of the remaining unamortized debt issuance costs on the repurchased debt. In May 2025, we redeemed the remaining principal balance of our 4.875% senior notes due 2025 at par by utilizing cash on hand and by borrowing on our bank credit facility.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we experience a change of control, noteholders may require us to repurchase all or a portion of our senior notes at 101% of the aggregate principal amount plus accrued and unpaid interest, if any. </w:t>
      </w:r>
    </w:p>
    <w:p>
      <w:pPr>
        <w:pStyle w:val="TextBody"/>
        <w:bidi w:val="0"/>
        <w:spacing w:before="0" w:after="180"/>
        <w:jc w:val="left"/>
        <w:rPr>
          <w:rFonts w:ascii="Times New Roman" w:hAnsi="Times New Roman"/>
          <w:sz w:val="20"/>
        </w:rPr>
      </w:pPr>
      <w:r>
        <w:rPr>
          <w:rFonts w:ascii="Times New Roman" w:hAnsi="Times New Roman"/>
          <w:b/>
          <w:color w:val="000000"/>
          <w:sz w:val="20"/>
        </w:rPr>
        <w:t>Guarantees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Range is a holding company that owns no operating assets and has no significant operations independent of its subsidiaries. The guarantees by our subsidiaries, which are directly or indirectly owned by Range, of our senior notes and our bank credit facility are full and unconditional and joint and several, subject to certain customary release provisions. The assets, liabilities and results of operations of Range and our guarantor subsidiaries are not materially different than our consolidated financial statements. A subsidiary guarantor may be released from its obligations under the guarantee: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event of a sale or other disposition of all or substantially all of the assets of the subsidiary guarantor or a sale or other disposition of all the capital stock of the subsidiary guarantor, to any corporation or other person (including an unrestricted subsidiary of Range) by way of merger, consolidation, or otherwise; or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Range designates any restricted subsidiary that is a guarantor to be an unrestricted subsidiary in accordance with the terms of the indenture.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16" w:name="note_6"/>
      <w:bookmarkEnd w:id="16"/>
      <w:r>
        <w:rPr>
          <w:rFonts w:ascii="Times New Roman" w:hAnsi="Times New Roman"/>
          <w:b/>
          <w:color w:val="000000"/>
          <w:sz w:val="20"/>
        </w:rPr>
        <w:t>(6) ASSET RETIREMENT OBLIGATIONS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Activity related to our liability for plugging and abandonment costs for the six months ended June 30, 2026 and the year ended December 31, 2025 is as follows (in thousands):</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3256"/>
        <w:gridCol w:w="328"/>
        <w:gridCol w:w="1217"/>
        <w:gridCol w:w="166"/>
        <w:gridCol w:w="146"/>
        <w:gridCol w:w="328"/>
        <w:gridCol w:w="1217"/>
        <w:gridCol w:w="511"/>
      </w:tblGrid>
      <w:tr>
        <w:trPr/>
        <w:tc>
          <w:tcPr>
            <w:tcW w:w="32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133,767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Liabilities incurred</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Liabilities settled</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expense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estimate</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current portion</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 retirement obligations</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17" w:name="note_7"/>
      <w:bookmarkEnd w:id="17"/>
      <w:r>
        <w:rPr>
          <w:rFonts w:ascii="Times New Roman" w:hAnsi="Times New Roman"/>
          <w:b/>
          <w:color w:val="000000"/>
          <w:sz w:val="20"/>
        </w:rPr>
        <w:t>(7) DERIVATIVE ACTIVITIES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sets forth our commodity-based derivative volumes by year as of June 30, 2026, excluding our basis swaps which are discussed separately below. All fair values presented in the table below utilize Level 2 inputs except for C3 (propane) collars, which utilize Level 3 inputs. All fair market values ("FMV") are presented in thousands:</w:t>
      </w:r>
    </w:p>
    <w:tbl>
      <w:tblPr>
        <w:tblW w:w="10205" w:type="dxa"/>
        <w:jc w:val="left"/>
        <w:tblInd w:w="0" w:type="dxa"/>
        <w:tblLayout w:type="fixed"/>
        <w:tblCellMar>
          <w:top w:w="28" w:type="dxa"/>
          <w:left w:w="28" w:type="dxa"/>
          <w:bottom w:w="28" w:type="dxa"/>
          <w:right w:w="28" w:type="dxa"/>
        </w:tblCellMar>
      </w:tblPr>
      <w:tblGrid>
        <w:gridCol w:w="1131"/>
        <w:gridCol w:w="146"/>
        <w:gridCol w:w="1117"/>
        <w:gridCol w:w="146"/>
        <w:gridCol w:w="1560"/>
        <w:gridCol w:w="146"/>
        <w:gridCol w:w="211"/>
        <w:gridCol w:w="146"/>
        <w:gridCol w:w="571"/>
        <w:gridCol w:w="146"/>
        <w:gridCol w:w="146"/>
        <w:gridCol w:w="211"/>
        <w:gridCol w:w="146"/>
        <w:gridCol w:w="571"/>
        <w:gridCol w:w="146"/>
        <w:gridCol w:w="146"/>
        <w:gridCol w:w="211"/>
        <w:gridCol w:w="146"/>
        <w:gridCol w:w="571"/>
        <w:gridCol w:w="146"/>
        <w:gridCol w:w="146"/>
        <w:gridCol w:w="211"/>
        <w:gridCol w:w="146"/>
        <w:gridCol w:w="571"/>
        <w:gridCol w:w="146"/>
        <w:gridCol w:w="146"/>
        <w:gridCol w:w="211"/>
        <w:gridCol w:w="676"/>
        <w:gridCol w:w="192"/>
      </w:tblGrid>
      <w:tr>
        <w:trPr/>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 Hedged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7"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Hedge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FMV</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Swap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Sold 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Ceiling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Natural Gas </w:t>
            </w:r>
            <w:r>
              <w:rPr>
                <w:rFonts w:ascii="Times New Roman" w:hAnsi="Times New Roman"/>
                <w:b/>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 - Dec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300,000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 - Dec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333,424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270,000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80,000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20,000 Mmbtu/day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90,000 Mmbtu/day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 - Sep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Three-way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5,000 bbls/day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NGLs - C3 (propane)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 - Sep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C3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 bbls/day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 - Dec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C3 Collars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 bbls/day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sans-serif" w:hAnsi="sans-serif"/>
          <w:sz w:val="22"/>
        </w:rPr>
      </w:pPr>
      <w:r>
        <w:rPr>
          <w:rFonts w:ascii="Times New Roman" w:hAnsi="Times New Roman"/>
          <w:color w:val="000000"/>
          <w:sz w:val="18"/>
        </w:rPr>
        <w:t>We also sold natural gas call swaptions of 50,000</w:t>
      </w:r>
      <w:r>
        <w:rPr>
          <w:rFonts w:ascii="sans-serif" w:hAnsi="sans-serif"/>
          <w:color w:val="000000"/>
          <w:sz w:val="22"/>
        </w:rPr>
        <w:t xml:space="preserve"> </w:t>
      </w:r>
      <w:r>
        <w:rPr>
          <w:rFonts w:ascii="Times New Roman" w:hAnsi="Times New Roman"/>
          <w:color w:val="000000"/>
          <w:sz w:val="18"/>
        </w:rPr>
        <w:t>Mmbtu/day for 2028</w:t>
      </w:r>
      <w:r>
        <w:rPr>
          <w:rFonts w:ascii="sans-serif" w:hAnsi="sans-serif"/>
          <w:color w:val="000000"/>
          <w:sz w:val="22"/>
        </w:rPr>
        <w:t xml:space="preserve"> </w:t>
      </w:r>
      <w:r>
        <w:rPr>
          <w:rFonts w:ascii="Times New Roman" w:hAnsi="Times New Roman"/>
          <w:color w:val="000000"/>
          <w:sz w:val="18"/>
        </w:rPr>
        <w:t>at a weighted average price of $4.00/Mmbtu that expire in December 2026. The fair value of these contracts as of June 30, 2026, which utilizes Level 3 inputs, was a derivative liability of $657,000.</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Basis Swap Contracts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addition to the commodity derivatives described above, as of June 30, 2026, we had natural gas basis swap contracts which lock in the differential between NYMEX Henry Hub and certain of our physical pricing indices. These contracts settle through December 2030 and include a total volume of 135,187,500 Mmbtu. The fair value of these contracts was a liability of $10.6 million as of June 30, 2026.</w:t>
      </w:r>
    </w:p>
    <w:p>
      <w:pPr>
        <w:pStyle w:val="TextBody"/>
        <w:bidi w:val="0"/>
        <w:spacing w:before="0" w:after="180"/>
        <w:jc w:val="left"/>
        <w:rPr>
          <w:rFonts w:ascii="Times New Roman" w:hAnsi="Times New Roman"/>
          <w:sz w:val="20"/>
        </w:rPr>
      </w:pPr>
      <w:r>
        <w:rPr>
          <w:rFonts w:ascii="Times New Roman" w:hAnsi="Times New Roman"/>
          <w:b/>
          <w:color w:val="000000"/>
          <w:sz w:val="20"/>
        </w:rPr>
        <w:t>Derivative Assets and Liabilities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combined fair value of derivatives included in the accompanying consolidated balance sheets as of June 30, 2026 and December 31, 2025 is summarized below. The assets and liabilities are netted where derivatives with both gain and loss positions are held by a single counterparty and we have master netting arrangements. The tables below provide additional information relating to our master netting arrangements with our derivative counterparties (in thousands): </w:t>
      </w:r>
    </w:p>
    <w:tbl>
      <w:tblPr>
        <w:tblW w:w="8161" w:type="dxa"/>
        <w:jc w:val="left"/>
        <w:tblInd w:w="0" w:type="dxa"/>
        <w:tblLayout w:type="fixed"/>
        <w:tblCellMar>
          <w:top w:w="28" w:type="dxa"/>
          <w:left w:w="28" w:type="dxa"/>
          <w:bottom w:w="28" w:type="dxa"/>
          <w:right w:w="28" w:type="dxa"/>
        </w:tblCellMar>
      </w:tblPr>
      <w:tblGrid>
        <w:gridCol w:w="5506"/>
        <w:gridCol w:w="211"/>
        <w:gridCol w:w="781"/>
        <w:gridCol w:w="166"/>
        <w:gridCol w:w="146"/>
        <w:gridCol w:w="254"/>
        <w:gridCol w:w="886"/>
        <w:gridCol w:w="211"/>
      </w:tblGrid>
      <w:tr>
        <w:trPr/>
        <w:tc>
          <w:tcPr>
            <w:tcW w:w="5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assets: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 recognized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offset in the consolidated balance sheets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amounts of assets presented in the consolidated balance sheets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551" w:type="dxa"/>
        <w:jc w:val="left"/>
        <w:tblInd w:w="0" w:type="dxa"/>
        <w:tblLayout w:type="fixed"/>
        <w:tblCellMar>
          <w:top w:w="28" w:type="dxa"/>
          <w:left w:w="28" w:type="dxa"/>
          <w:bottom w:w="28" w:type="dxa"/>
          <w:right w:w="28" w:type="dxa"/>
        </w:tblCellMar>
      </w:tblPr>
      <w:tblGrid>
        <w:gridCol w:w="5941"/>
        <w:gridCol w:w="211"/>
        <w:gridCol w:w="736"/>
        <w:gridCol w:w="166"/>
        <w:gridCol w:w="146"/>
        <w:gridCol w:w="254"/>
        <w:gridCol w:w="886"/>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 recognized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amounts offset in the consolidated balance sheets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amounts of (liabilities) presented in the consolidated balance sheets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Derivative Fair Value Income (Loss)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effects of our derivatives on our consolidated statements of income are summarized below (in thousands): </w:t>
      </w:r>
    </w:p>
    <w:tbl>
      <w:tblPr>
        <w:tblW w:w="8316" w:type="dxa"/>
        <w:jc w:val="left"/>
        <w:tblInd w:w="0" w:type="dxa"/>
        <w:tblLayout w:type="fixed"/>
        <w:tblCellMar>
          <w:top w:w="28" w:type="dxa"/>
          <w:left w:w="28" w:type="dxa"/>
          <w:bottom w:w="28" w:type="dxa"/>
          <w:right w:w="28" w:type="dxa"/>
        </w:tblCellMar>
      </w:tblPr>
      <w:tblGrid>
        <w:gridCol w:w="3461"/>
        <w:gridCol w:w="211"/>
        <w:gridCol w:w="676"/>
        <w:gridCol w:w="146"/>
        <w:gridCol w:w="146"/>
        <w:gridCol w:w="211"/>
        <w:gridCol w:w="781"/>
        <w:gridCol w:w="146"/>
        <w:gridCol w:w="146"/>
        <w:gridCol w:w="211"/>
        <w:gridCol w:w="736"/>
        <w:gridCol w:w="166"/>
        <w:gridCol w:w="146"/>
        <w:gridCol w:w="211"/>
        <w:gridCol w:w="631"/>
        <w:gridCol w:w="291"/>
      </w:tblGrid>
      <w:tr>
        <w:trPr/>
        <w:tc>
          <w:tcPr>
            <w:tcW w:w="3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NGLs derivatives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derivative fair value income (loss)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80" w:after="180"/>
        <w:jc w:val="left"/>
        <w:rPr>
          <w:rFonts w:ascii="Times New Roman" w:hAnsi="Times New Roman"/>
          <w:sz w:val="20"/>
        </w:rPr>
      </w:pPr>
      <w:bookmarkStart w:id="18" w:name="note_8"/>
      <w:bookmarkEnd w:id="18"/>
      <w:r>
        <w:rPr>
          <w:rFonts w:ascii="Times New Roman" w:hAnsi="Times New Roman"/>
          <w:b/>
          <w:color w:val="000000"/>
          <w:sz w:val="20"/>
        </w:rPr>
        <w:t>(8) FAIR VALUE MEASUREMENTS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follows the authoritative guidance for measuring fair value of assets and liabilities in its financial statements. For further information on the fair value hierarchy, refer to Note 2 of the Notes to the Consolidated Financial Statements in the Form 10-K. As of June 30, 2026, a portion of our natural gas derivative instruments contain swaptions where the counterparty has the right, but not the obligation, to enter into a fixed price swap on a pre-determined date. If exercised, the swaption contract becomes a swap treated consistently with our fixed price swaps. As of June 30, 2026, we used a weighted average implied volatility of 14% for natural gas swaptions. As of June 30, 2026, we also utilized collars for propane that include unobservable inputs due to lack of published volatility data and used a weighted average implied volatility of 36% for these collars. The following is a reconciliation of the beginning and ending balances for derivative instruments classified as Level 3 in the fair value hierarchy (in thousands):</w:t>
      </w:r>
    </w:p>
    <w:tbl>
      <w:tblPr>
        <w:tblW w:w="4777" w:type="dxa"/>
        <w:jc w:val="left"/>
        <w:tblInd w:w="0" w:type="dxa"/>
        <w:tblLayout w:type="fixed"/>
        <w:tblCellMar>
          <w:top w:w="28" w:type="dxa"/>
          <w:left w:w="28" w:type="dxa"/>
          <w:bottom w:w="28" w:type="dxa"/>
          <w:right w:w="28" w:type="dxa"/>
        </w:tblCellMar>
      </w:tblPr>
      <w:tblGrid>
        <w:gridCol w:w="2821"/>
        <w:gridCol w:w="470"/>
        <w:gridCol w:w="1075"/>
        <w:gridCol w:w="411"/>
      </w:tblGrid>
      <w:tr>
        <w:trPr/>
        <w:tc>
          <w:tcPr>
            <w:tcW w:w="282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Settlements</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4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presents the carrying amounts and the fair values and hierarchy of our financial instruments as of June 30, 2026 and December 31, 2025 (in thousands):</w:t>
      </w:r>
    </w:p>
    <w:tbl>
      <w:tblPr>
        <w:tblW w:w="8426" w:type="dxa"/>
        <w:jc w:val="left"/>
        <w:tblInd w:w="0" w:type="dxa"/>
        <w:tblLayout w:type="fixed"/>
        <w:tblCellMar>
          <w:top w:w="28" w:type="dxa"/>
          <w:left w:w="28" w:type="dxa"/>
          <w:bottom w:w="28" w:type="dxa"/>
          <w:right w:w="28" w:type="dxa"/>
        </w:tblCellMar>
      </w:tblPr>
      <w:tblGrid>
        <w:gridCol w:w="2871"/>
        <w:gridCol w:w="211"/>
        <w:gridCol w:w="841"/>
        <w:gridCol w:w="166"/>
        <w:gridCol w:w="146"/>
        <w:gridCol w:w="211"/>
        <w:gridCol w:w="841"/>
        <w:gridCol w:w="166"/>
        <w:gridCol w:w="146"/>
        <w:gridCol w:w="211"/>
        <w:gridCol w:w="841"/>
        <w:gridCol w:w="166"/>
        <w:gridCol w:w="146"/>
        <w:gridCol w:w="211"/>
        <w:gridCol w:w="841"/>
        <w:gridCol w:w="411"/>
      </w:tblGrid>
      <w:tr>
        <w:trPr/>
        <w:tc>
          <w:tcPr>
            <w:tcW w:w="2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 derivatives </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Marketable securities </w:t>
            </w:r>
            <w:r>
              <w:rPr>
                <w:rFonts w:ascii="Times New Roman" w:hAnsi="Times New Roman"/>
                <w:color w:val="000000"/>
                <w:sz w:val="13"/>
              </w:rPr>
              <w:t>(b)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 derivatives </w:t>
            </w:r>
            <w:r>
              <w:rPr>
                <w:rFonts w:ascii="Times New Roman" w:hAnsi="Times New Roman"/>
                <w:color w:val="000000"/>
                <w:sz w:val="13"/>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Bank credit facility </w:t>
            </w:r>
            <w:r>
              <w:rPr>
                <w:rFonts w:ascii="Times New Roman" w:hAnsi="Times New Roman"/>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8.25% senior notes due 2029 </w:t>
            </w:r>
            <w:r>
              <w:rPr>
                <w:rFonts w:ascii="Times New Roman" w:hAnsi="Times New Roman"/>
                <w:color w:val="000000"/>
                <w:sz w:val="13"/>
              </w:rPr>
              <w:t>(c)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4.75% senior notes due 2030 </w:t>
            </w:r>
            <w:r>
              <w:rPr>
                <w:rFonts w:ascii="Times New Roman" w:hAnsi="Times New Roman"/>
                <w:color w:val="000000"/>
                <w:sz w:val="13"/>
              </w:rPr>
              <w:t>(c)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Deferred compensation plan </w:t>
            </w:r>
            <w:r>
              <w:rPr>
                <w:rFonts w:ascii="Times New Roman" w:hAnsi="Times New Roman"/>
                <w:color w:val="000000"/>
                <w:sz w:val="13"/>
              </w:rPr>
              <w:t>(d)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sz w:val="20"/>
        </w:rPr>
      </w:pPr>
      <w:r>
        <w:rPr>
          <w:rFonts w:ascii="Times New Roman" w:hAnsi="Times New Roman"/>
          <w:color w:val="000000"/>
          <w:sz w:val="18"/>
        </w:rPr>
        <w:t>Fair values for commodity derivatives utilize Level 2 inputs with the exception of swaptions and propane collars, which utilize Level 3 inputs. Fair value of swaption contracts as of June 30, 2026 was a derivative liability of $657,000</w:t>
      </w:r>
      <w:r>
        <w:rPr>
          <w:rFonts w:ascii="Times New Roman" w:hAnsi="Times New Roman"/>
          <w:color w:val="000000"/>
          <w:sz w:val="20"/>
        </w:rPr>
        <w:t xml:space="preserve"> </w:t>
      </w:r>
      <w:r>
        <w:rPr>
          <w:rFonts w:ascii="Times New Roman" w:hAnsi="Times New Roman"/>
          <w:color w:val="000000"/>
          <w:sz w:val="18"/>
        </w:rPr>
        <w:t>and the fair value of propane collars as of June 30, 2026 was a derivative asset of $882,000.</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Marketable securities, which are held in our deferred compensation plans, are actively traded on major exchanges, which is a Level 1 input.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book value of our bank debt approximates fair value because of its floating rate structure. The fair value of our senior notes is based on end of period market quotes which are Level 2 inputs. Debt is presented on the balance sheet at carrying value.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w:t>
      </w:r>
    </w:p>
    <w:p>
      <w:pPr>
        <w:pStyle w:val="TextBody"/>
        <w:bidi w:val="0"/>
        <w:jc w:val="left"/>
        <w:rPr>
          <w:rFonts w:ascii="Times New Roman" w:hAnsi="Times New Roman"/>
          <w:color w:val="000000"/>
          <w:sz w:val="18"/>
        </w:rPr>
      </w:pPr>
      <w:r>
        <w:rPr>
          <w:rFonts w:ascii="Times New Roman" w:hAnsi="Times New Roman"/>
          <w:color w:val="000000"/>
          <w:sz w:val="18"/>
        </w:rPr>
        <w:t>The fair value of our deferred compensation plan is updated to the closing price of the marketable securities held in the plan on the balance sheet date, which is a Level 1 input.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current assets and liabilities include financial instruments, the most significant of which are trade accounts receivable and payable. We believe the carrying values of our current assets and liabilities approximate fair value. Our fair value assessment incorporates a variety of considerations, including (1) the short-term duration of the instruments and (2) our historical and expected incurrence of bad debt expense. Our allowance for uncollectible receivables was $248,000 as of June 30, 2026 and $248,000 as of December 31, 2025. Non-financial liabilities initially measured at fair value include asset retirement obligations, operating lease liabilities and the divestiture contract obligation that we incurred in conjunction with the sale of our North Louisiana assets.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assets are not measured at fair value on an ongoing basis but are subject to fair value adjustments in certain circumstances. Our proved natural gas and oil properties are reviewed for impairment periodically as events or changes in circumstances indicate the carrying amount may not be recoverable. There were no proved property impairment charges for first six months 2026 or 2025.</w:t>
      </w:r>
    </w:p>
    <w:p>
      <w:pPr>
        <w:pStyle w:val="TextBody"/>
        <w:bidi w:val="0"/>
        <w:spacing w:before="0" w:after="180"/>
        <w:jc w:val="left"/>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June 30, 2026, our primary concentrations of credit risk are the risk of not collecting accounts receivable and the risk of a counterparty’s failure to perform under derivative obligations. To manage counterparty risk associated with our derivatives, we select and monitor our counterparties based on our assessment of their financial strength and/or credit ratings. Counterparty credit risk is considered when determining the fair value of our derivative contracts. While our counterparties are primarily major investment grade financial institutions, the fair value of our derivative contracts has been adjusted to account for the risk of non-performance by certain of our counterparties, which was immaterial. As of June 30, 2026, our derivative counterparties included sixteen financial institutions, of which eleven were secured lenders in our bank credit facility. As of June 30, 2026, our net derivative position includes an aggregate net payable of $2.1 million to two counterparties not included in our bank credit facility and an aggregate net receivable of $6.5 million from three counterparties not included in our bank credit facility.</w:t>
      </w:r>
    </w:p>
    <w:p>
      <w:pPr>
        <w:pStyle w:val="TextBody"/>
        <w:bidi w:val="0"/>
        <w:spacing w:before="0" w:after="180"/>
        <w:jc w:val="left"/>
        <w:rPr>
          <w:rFonts w:ascii="Times New Roman" w:hAnsi="Times New Roman"/>
          <w:sz w:val="20"/>
        </w:rPr>
      </w:pPr>
      <w:bookmarkStart w:id="19" w:name="note_9"/>
      <w:bookmarkEnd w:id="19"/>
      <w:r>
        <w:rPr>
          <w:rFonts w:ascii="Times New Roman" w:hAnsi="Times New Roman"/>
          <w:b/>
          <w:color w:val="000000"/>
          <w:sz w:val="20"/>
        </w:rPr>
        <w:t>(9) STOCK-BASED COMPENSATION PLANS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Total Stock-Based Compensation Expense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Refer to Note 10 of the Notes to the Consolidated Financial Statements in the Form 10-K for further description of the various types of stock-based compensation awards, their valuations and their award terms. Stock-based compensation represents amortization of time-based restricted stock and performance-based awards. The following details the allocation of stock-based compensation to functional expense categories (in thousands):</w:t>
      </w:r>
    </w:p>
    <w:tbl>
      <w:tblPr>
        <w:tblW w:w="9091" w:type="dxa"/>
        <w:jc w:val="left"/>
        <w:tblInd w:w="0" w:type="dxa"/>
        <w:tblLayout w:type="fixed"/>
        <w:tblCellMar>
          <w:top w:w="28" w:type="dxa"/>
          <w:left w:w="28" w:type="dxa"/>
          <w:bottom w:w="28" w:type="dxa"/>
          <w:right w:w="28" w:type="dxa"/>
        </w:tblCellMar>
      </w:tblPr>
      <w:tblGrid>
        <w:gridCol w:w="4276"/>
        <w:gridCol w:w="211"/>
        <w:gridCol w:w="676"/>
        <w:gridCol w:w="146"/>
        <w:gridCol w:w="146"/>
        <w:gridCol w:w="211"/>
        <w:gridCol w:w="676"/>
        <w:gridCol w:w="146"/>
        <w:gridCol w:w="146"/>
        <w:gridCol w:w="211"/>
        <w:gridCol w:w="676"/>
        <w:gridCol w:w="146"/>
        <w:gridCol w:w="146"/>
        <w:gridCol w:w="211"/>
        <w:gridCol w:w="676"/>
        <w:gridCol w:w="391"/>
      </w:tblGrid>
      <w:tr>
        <w:trPr/>
        <w:tc>
          <w:tcPr>
            <w:tcW w:w="4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operating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Brokered natural gas, NGLs and marketing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The mark-to-market adjustment of the liability related to the restricted stock Liability Awards held in our deferred compensation plan as recorded in deferred compensation plan expense on our consolidated statements of income is directly tied to the change in our stock price and not directly related to functional expenses and, therefore, is not allocated to the functional categories above.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Time-based - Equity Awards </w:t>
      </w:r>
      <w:r>
        <w:rPr>
          <w:rFonts w:ascii="Times New Roman" w:hAnsi="Times New Roman"/>
          <w:color w:val="000000"/>
          <w:sz w:val="20"/>
        </w:rPr>
        <w:t>("</w:t>
      </w:r>
      <w:r>
        <w:rPr>
          <w:rFonts w:ascii="Times New Roman" w:hAnsi="Times New Roman"/>
          <w:i/>
          <w:color w:val="000000"/>
          <w:sz w:val="20"/>
        </w:rPr>
        <w:t>Equity Awards</w:t>
      </w:r>
      <w:r>
        <w:rPr>
          <w:rFonts w:ascii="Times New Roman" w:hAnsi="Times New Roman"/>
          <w:color w:val="000000"/>
          <w:sz w:val="20"/>
        </w:rPr>
        <w:t>")</w:t>
      </w:r>
      <w:r>
        <w:rPr>
          <w:rFonts w:ascii="Times New Roman" w:hAnsi="Times New Roman"/>
          <w:i/>
          <w:color w:val="000000"/>
          <w:sz w:val="20"/>
        </w:rPr>
        <w:t xml:space="preserve">. </w:t>
      </w:r>
      <w:r>
        <w:rPr>
          <w:rFonts w:ascii="Times New Roman" w:hAnsi="Times New Roman"/>
          <w:color w:val="000000"/>
          <w:sz w:val="20"/>
        </w:rPr>
        <w:t xml:space="preserve">These awards are expensed ratably over the service period associated with the awards based on fair value. Fair value is based on prevailing market price on the date of grant and is expensed over a service period up to three years. We recorded compensation expense for these outstanding Equity Awards of $20.2 million in first six months 2026 compared to $19.4 million in the same period of 2025. </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Time-based - Liability Awards </w:t>
      </w:r>
      <w:r>
        <w:rPr>
          <w:rFonts w:ascii="Times New Roman" w:hAnsi="Times New Roman"/>
          <w:color w:val="000000"/>
          <w:sz w:val="20"/>
        </w:rPr>
        <w:t>("</w:t>
      </w:r>
      <w:r>
        <w:rPr>
          <w:rFonts w:ascii="Times New Roman" w:hAnsi="Times New Roman"/>
          <w:i/>
          <w:color w:val="000000"/>
          <w:sz w:val="20"/>
        </w:rPr>
        <w:t>Liability Awards</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There have been no significant grants since 2022, and we have no compensation expense recorded for these awards in 2026. Liability Awards were historically contributed into the deferred compensation plan (see further discussion below). </w:t>
      </w:r>
    </w:p>
    <w:p>
      <w:pPr>
        <w:pStyle w:val="TextBody"/>
        <w:bidi w:val="0"/>
        <w:spacing w:before="0" w:after="180"/>
        <w:jc w:val="left"/>
        <w:rPr>
          <w:rFonts w:ascii="Times New Roman" w:hAnsi="Times New Roman"/>
          <w:sz w:val="20"/>
        </w:rPr>
      </w:pPr>
      <w:r>
        <w:rPr>
          <w:rFonts w:ascii="Times New Roman" w:hAnsi="Times New Roman"/>
          <w:i/>
          <w:color w:val="000000"/>
          <w:sz w:val="20"/>
        </w:rPr>
        <w:t>Performance-based TSR Awards ("TSRs" or "TSR Awards").</w:t>
      </w:r>
      <w:r>
        <w:rPr>
          <w:rFonts w:ascii="Times New Roman" w:hAnsi="Times New Roman"/>
          <w:color w:val="000000"/>
          <w:sz w:val="20"/>
        </w:rPr>
        <w:t xml:space="preserve"> The fair value of the TSR Awards is estimated on the date of grant using a Monte Carlo simulation model which utilizes multiple input variables that determine the probability of satisfying the market condition stipulated in the award grant and calculates the fair value of the award. Expected volatilities utilized in the model were estimated using a historical period consistent with the remaining performance period of three years. The risk-free interest rate was based on the United States Treasury rate for a term commensurate with the life of the grant.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Beginning in 2026, we granted performance awards that include (i) "relative" TSR units that will have payouts determined based on our total shareholder return relative to a peer group at the end of the performance period, which are similar to TSR grants made historically and (ii) "absolute" TSR units that will have payouts determined based on total shareholder return targets of our common stock for the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performance period. We recorded compensation expense for TSR Awards of $4.0 million in first six months 2026 compared to $2.8 million in the same period of 2025. Fair value is amortized over the performance period with no adjustment to the expense recorded for actual targets achieved. The following assumptions were used to estimate the fair value of the TSR Awards granted during first six months 2026 and 2025:</w:t>
      </w:r>
    </w:p>
    <w:p>
      <w:pPr>
        <w:pStyle w:val="TextBody"/>
        <w:bidi w:val="0"/>
        <w:jc w:val="left"/>
        <w:rPr/>
      </w:pPr>
      <w:r>
        <w:rPr/>
        <w:t> </w:t>
      </w:r>
    </w:p>
    <w:tbl>
      <w:tblPr>
        <w:tblW w:w="6836" w:type="dxa"/>
        <w:jc w:val="left"/>
        <w:tblInd w:w="0" w:type="dxa"/>
        <w:tblLayout w:type="fixed"/>
        <w:tblCellMar>
          <w:top w:w="28" w:type="dxa"/>
          <w:left w:w="28" w:type="dxa"/>
          <w:bottom w:w="28" w:type="dxa"/>
          <w:right w:w="28" w:type="dxa"/>
        </w:tblCellMar>
      </w:tblPr>
      <w:tblGrid>
        <w:gridCol w:w="4141"/>
        <w:gridCol w:w="146"/>
        <w:gridCol w:w="238"/>
        <w:gridCol w:w="644"/>
        <w:gridCol w:w="305"/>
        <w:gridCol w:w="164"/>
        <w:gridCol w:w="238"/>
        <w:gridCol w:w="644"/>
        <w:gridCol w:w="31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unit - relative TSR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unit - absolute TSR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Equity Award Summary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is a summary of the activity for our time-based and performance-based stock awards for the six months ended June 30, 2026:</w:t>
      </w:r>
    </w:p>
    <w:p>
      <w:pPr>
        <w:pStyle w:val="TextBody"/>
        <w:bidi w:val="0"/>
        <w:jc w:val="left"/>
        <w:rPr/>
      </w:pPr>
      <w:r>
        <w:rPr/>
        <w:t> </w:t>
      </w:r>
    </w:p>
    <w:tbl>
      <w:tblPr>
        <w:tblW w:w="8977" w:type="dxa"/>
        <w:jc w:val="left"/>
        <w:tblInd w:w="0" w:type="dxa"/>
        <w:tblLayout w:type="fixed"/>
        <w:tblCellMar>
          <w:top w:w="28" w:type="dxa"/>
          <w:left w:w="28" w:type="dxa"/>
          <w:bottom w:w="28" w:type="dxa"/>
          <w:right w:w="28" w:type="dxa"/>
        </w:tblCellMar>
      </w:tblPr>
      <w:tblGrid>
        <w:gridCol w:w="3166"/>
        <w:gridCol w:w="146"/>
        <w:gridCol w:w="931"/>
        <w:gridCol w:w="166"/>
        <w:gridCol w:w="146"/>
        <w:gridCol w:w="354"/>
        <w:gridCol w:w="966"/>
        <w:gridCol w:w="146"/>
        <w:gridCol w:w="146"/>
        <w:gridCol w:w="146"/>
        <w:gridCol w:w="841"/>
        <w:gridCol w:w="166"/>
        <w:gridCol w:w="146"/>
        <w:gridCol w:w="354"/>
        <w:gridCol w:w="96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Time-Based</w:t>
              <w:br/>
              <w:t>Equity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Performance-Based</w:t>
              <w:b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w:t>
              <w:br/>
              <w:t xml:space="preserve">of Units </w:t>
            </w:r>
            <w:r>
              <w:rPr>
                <w:rFonts w:ascii="Times New Roman" w:hAnsi="Times New Roman"/>
                <w:b/>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sz w:val="20"/>
        </w:rPr>
      </w:pPr>
      <w:r>
        <w:rPr>
          <w:rFonts w:ascii="Times New Roman" w:hAnsi="Times New Roman"/>
          <w:color w:val="000000"/>
          <w:sz w:val="18"/>
        </w:rPr>
        <w:t>Amounts granted reflect performance units granted. The actual payout will be between zero</w:t>
      </w:r>
      <w:r>
        <w:rPr>
          <w:rFonts w:ascii="Times New Roman" w:hAnsi="Times New Roman"/>
          <w:color w:val="000000"/>
          <w:sz w:val="20"/>
        </w:rPr>
        <w:t xml:space="preserve"> </w:t>
      </w:r>
      <w:r>
        <w:rPr>
          <w:rFonts w:ascii="Times New Roman" w:hAnsi="Times New Roman"/>
          <w:color w:val="000000"/>
          <w:sz w:val="18"/>
        </w:rPr>
        <w:t>and 200% depending on achievement of the total stockholder return compared to our peers over the performance period and our absolute shareholder return ranking.</w:t>
      </w:r>
    </w:p>
    <w:p>
      <w:pPr>
        <w:pStyle w:val="TextBody"/>
        <w:bidi w:val="0"/>
        <w:spacing w:before="180" w:after="180"/>
        <w:jc w:val="left"/>
        <w:rPr>
          <w:rFonts w:ascii="Times New Roman" w:hAnsi="Times New Roman"/>
          <w:sz w:val="20"/>
        </w:rPr>
      </w:pPr>
      <w:r>
        <w:rPr>
          <w:rFonts w:ascii="Times New Roman" w:hAnsi="Times New Roman"/>
          <w:b/>
          <w:color w:val="000000"/>
          <w:sz w:val="20"/>
        </w:rPr>
        <w:t>Deferred Compensation Plan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assets of our deferred compensation plan are held in a grantor trust, which we refer to as the Rabbi Trust, and are therefore available to satisfy the claims of our general creditors in the event of bankruptcy or insolvency. Our common stock held in the Rabbi Trust is accounted for as Liability Awards and is adjusted to fair value each reporting period by a charge or credit to deferred compensation plan expense on our consolidated statements of income. The Rabbi Trust held 199,000 shares (187,000 vested shares) of Range common stock as of June 30, 2026 compared to 266,000 shares (258,000 vested shares) as of December 31, 2025.</w:t>
      </w:r>
    </w:p>
    <w:p>
      <w:pPr>
        <w:pStyle w:val="TextBody"/>
        <w:bidi w:val="0"/>
        <w:spacing w:before="0" w:after="180"/>
        <w:jc w:val="left"/>
        <w:rPr>
          <w:rFonts w:ascii="Times New Roman" w:hAnsi="Times New Roman"/>
          <w:sz w:val="20"/>
        </w:rPr>
      </w:pPr>
      <w:r>
        <w:rPr>
          <w:rFonts w:ascii="Times New Roman" w:hAnsi="Times New Roman"/>
          <w:i/>
          <w:color w:val="000000"/>
          <w:sz w:val="20"/>
        </w:rPr>
        <w:t xml:space="preserve">Trading securities. </w:t>
      </w:r>
      <w:r>
        <w:rPr>
          <w:rFonts w:ascii="Times New Roman" w:hAnsi="Times New Roman"/>
          <w:color w:val="000000"/>
          <w:sz w:val="20"/>
        </w:rPr>
        <w:t>Our trading securities held in the deferred compensation plan are accounted for using the mark-to-market accounting method and are included in other assets in the accompanying consolidated balance sheets. We elected to adopt the fair value option to simplify our accounting for the investments in our deferred compensation plan. Interest, dividends, and mark-to-market gains or losses are included in the changes in our deferred compensation assets and liabilities on the accompanying consolidated balance sheets. For second quarter 2026, interest and dividends were $123,000 and the mark-to-market gain was $6.8 million compared to interest and dividends of $202,000 and a mark-to-market gain of $4.2 million in second quarter 2025. For first six months 2026, interest and dividends were $229,000 and the mark-to-market gain was $5.0 million compared to interest and dividends of $335,000 and a mark-to-market gain of $3.3 million in first six months 2025.</w:t>
      </w:r>
    </w:p>
    <w:p>
      <w:pPr>
        <w:pStyle w:val="TextBody"/>
        <w:bidi w:val="0"/>
        <w:spacing w:before="0" w:after="180"/>
        <w:jc w:val="left"/>
        <w:rPr>
          <w:rFonts w:ascii="Times New Roman" w:hAnsi="Times New Roman"/>
          <w:b/>
          <w:color w:val="000000"/>
          <w:sz w:val="20"/>
        </w:rPr>
      </w:pPr>
      <w:bookmarkStart w:id="20" w:name="note_10"/>
      <w:bookmarkEnd w:id="20"/>
      <w:r>
        <w:rPr>
          <w:rFonts w:ascii="Times New Roman" w:hAnsi="Times New Roman"/>
          <w:b/>
          <w:color w:val="000000"/>
          <w:sz w:val="20"/>
        </w:rPr>
        <w:t>(10) CAPITAL STOCK</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February 2026, our Board of Directors approved an increase to our existing stock repurchase program to an aggregate $1.5 billion. Our total remaining share repurchase authorization was approximately $1.4 billion as of June 30, 2026. In second quarter 2026, we repurchased 2.0 million shares at an aggregate cost of $78.4 million ($79.0 million including the 1% excise tax). In first six months 2026 we repurchased 2.8 million shares at an aggregate cost of $105.5 million ($106.1 million including the 1% excise tax). The following is a schedule of the change in treasury shares based on settlement date for the three and six months ended June 30, 2026: </w:t>
      </w:r>
    </w:p>
    <w:tbl>
      <w:tblPr>
        <w:tblW w:w="7144" w:type="dxa"/>
        <w:jc w:val="left"/>
        <w:tblInd w:w="0" w:type="dxa"/>
        <w:tblLayout w:type="fixed"/>
        <w:tblCellMar>
          <w:top w:w="28" w:type="dxa"/>
          <w:left w:w="28" w:type="dxa"/>
          <w:bottom w:w="28" w:type="dxa"/>
          <w:right w:w="28" w:type="dxa"/>
        </w:tblCellMar>
      </w:tblPr>
      <w:tblGrid>
        <w:gridCol w:w="1966"/>
        <w:gridCol w:w="216"/>
        <w:gridCol w:w="1539"/>
        <w:gridCol w:w="146"/>
        <w:gridCol w:w="146"/>
        <w:gridCol w:w="326"/>
        <w:gridCol w:w="2314"/>
        <w:gridCol w:w="491"/>
      </w:tblGrid>
      <w:tr>
        <w:trPr/>
        <w:tc>
          <w:tcPr>
            <w:tcW w:w="19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33,115,000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Shares repurchased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35,915,000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b/>
          <w:color w:val="000000"/>
          <w:sz w:val="20"/>
        </w:rPr>
      </w:pPr>
      <w:bookmarkStart w:id="21" w:name="note_11"/>
      <w:bookmarkEnd w:id="21"/>
      <w:r>
        <w:rPr>
          <w:rFonts w:ascii="Times New Roman" w:hAnsi="Times New Roman"/>
          <w:b/>
          <w:color w:val="000000"/>
          <w:sz w:val="20"/>
        </w:rPr>
        <w:t>(11) EXIT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third quarter 2020, the Company sold its North Louisiana assets and retained certain gathering, transportation and processing obligations which extend into 2030. These are contracts where we will not realize any future benefit. The estimated obligations are included in current and long-term divestiture contract obligation in our consolidated balance sheets. In first six months 2026, we recorded accretion expense of $13.7 million compared to $17.4 million in the same period of the prior year. In second quarter 2026, we recorded a net adjustment of $2.9 million to increase this obligation for a change in expected throughput volumes.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details the accrued exit cost liability activity for the six months ended June 30, 2026 (in thousands):</w:t>
      </w:r>
    </w:p>
    <w:tbl>
      <w:tblPr>
        <w:tblW w:w="4294" w:type="dxa"/>
        <w:jc w:val="left"/>
        <w:tblInd w:w="0" w:type="dxa"/>
        <w:tblLayout w:type="fixed"/>
        <w:tblCellMar>
          <w:top w:w="28" w:type="dxa"/>
          <w:left w:w="28" w:type="dxa"/>
          <w:bottom w:w="28" w:type="dxa"/>
          <w:right w:w="28" w:type="dxa"/>
        </w:tblCellMar>
      </w:tblPr>
      <w:tblGrid>
        <w:gridCol w:w="2911"/>
        <w:gridCol w:w="211"/>
        <w:gridCol w:w="78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Exit Costs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estimate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left"/>
        <w:rPr>
          <w:rFonts w:ascii="Times New Roman" w:hAnsi="Times New Roman"/>
          <w:b/>
          <w:color w:val="000000"/>
          <w:sz w:val="20"/>
        </w:rPr>
      </w:pPr>
      <w:bookmarkStart w:id="22" w:name="note_12"/>
      <w:bookmarkEnd w:id="22"/>
      <w:r>
        <w:rPr>
          <w:rFonts w:ascii="Times New Roman" w:hAnsi="Times New Roman"/>
          <w:b/>
          <w:color w:val="000000"/>
          <w:sz w:val="20"/>
        </w:rPr>
        <w:t>(12) SUPPLEMENTAL CASH FLOW INFORMATION</w:t>
      </w:r>
    </w:p>
    <w:tbl>
      <w:tblPr>
        <w:tblW w:w="7100" w:type="dxa"/>
        <w:jc w:val="left"/>
        <w:tblInd w:w="0" w:type="dxa"/>
        <w:tblLayout w:type="fixed"/>
        <w:tblCellMar>
          <w:top w:w="28" w:type="dxa"/>
          <w:left w:w="28" w:type="dxa"/>
          <w:bottom w:w="28" w:type="dxa"/>
          <w:right w:w="28" w:type="dxa"/>
        </w:tblCellMar>
      </w:tblPr>
      <w:tblGrid>
        <w:gridCol w:w="4456"/>
        <w:gridCol w:w="213"/>
        <w:gridCol w:w="746"/>
        <w:gridCol w:w="168"/>
        <w:gridCol w:w="147"/>
        <w:gridCol w:w="213"/>
        <w:gridCol w:w="746"/>
        <w:gridCol w:w="411"/>
      </w:tblGrid>
      <w:tr>
        <w:trPr/>
        <w:tc>
          <w:tcPr>
            <w:tcW w:w="44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from operating activities included:</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income taxes paid to taxing authorities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State income taxes paid to taxing authorities </w:t>
            </w:r>
            <w:r>
              <w:rPr>
                <w:rFonts w:ascii="Times New Roman" w:hAnsi="Times New Roman"/>
                <w:color w:val="000000"/>
                <w:sz w:val="13"/>
              </w:rPr>
              <w:t>(a)</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activities included:</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asset retirement costs capitalized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accrued capital expenditures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State income taxes paid relate exclusively to Pennsylvania.</w:t>
      </w:r>
    </w:p>
    <w:p>
      <w:pPr>
        <w:pStyle w:val="TextBody"/>
        <w:bidi w:val="0"/>
        <w:spacing w:before="360" w:after="180"/>
        <w:jc w:val="left"/>
        <w:rPr>
          <w:rFonts w:ascii="Times New Roman" w:hAnsi="Times New Roman"/>
          <w:b/>
          <w:color w:val="000000"/>
          <w:sz w:val="20"/>
        </w:rPr>
      </w:pPr>
      <w:bookmarkStart w:id="23" w:name="note_13"/>
      <w:bookmarkEnd w:id="23"/>
      <w:r>
        <w:rPr>
          <w:rFonts w:ascii="Times New Roman" w:hAnsi="Times New Roman"/>
          <w:b/>
          <w:color w:val="000000"/>
          <w:sz w:val="20"/>
        </w:rPr>
        <w:t>(13) COMMITMENTS AND CONTINGENCIES</w:t>
      </w:r>
    </w:p>
    <w:p>
      <w:pPr>
        <w:pStyle w:val="TextBody"/>
        <w:bidi w:val="0"/>
        <w:spacing w:before="0" w:after="180"/>
        <w:jc w:val="left"/>
        <w:rPr>
          <w:rFonts w:ascii="Times New Roman" w:hAnsi="Times New Roman"/>
          <w:sz w:val="20"/>
        </w:rPr>
      </w:pPr>
      <w:r>
        <w:rPr>
          <w:rFonts w:ascii="Times New Roman" w:hAnsi="Times New Roman"/>
          <w:b/>
          <w:color w:val="000000"/>
          <w:sz w:val="20"/>
        </w:rPr>
        <w:t>Litigation</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the subject of, or party to, various pending or threatened legal actions,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these actions, proceedings or claims will not have a material adverse effect on our consolidated financial position as a whole or on our liquidity, capital resources or future annual results of operations.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When deemed necessary, we establish reserves for certain legal proceedings. The establishment of a reserve is based on an estimation process that includes the advice of legal counsel and subjective judgment of management. While management believes these reserves to be adequate, it is reasonably possible we could incur additional losses with respect to those matters in which reserves have been established. We will continue to evaluate our litigation on a quarterly basis and will establish and adjust any litigation reserves as appropriate to reflect our assessment of the then current status of litigation.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incurred and will continue to incur capital, operating and remediation expenditures as a result of environmental laws and regulations. As of June 30, 2026, liabilities for remediation were not material. We are not aware of any environmental claims existing as of June 30, 2026 that have not been provided for or would otherwise have a material impact on our financial position or results of operations. Environmental liabilities normally involve estimates that are subject to revision until final resolution, settlement or remediation occurs.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Transportation, Gathering and Processing Contracts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first six months 2026, our firm transportation, gathering and processing minimum commitments over the next 20 years increased by approximately $1.1 billion from December 31, 2025, primarily due to the addition of natural gas transportation capacity through 2041 that started in June 2026. This commitment was previously disclosed as contingent on construction completion.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24" w:name="note_14"/>
      <w:bookmarkEnd w:id="24"/>
      <w:r>
        <w:rPr>
          <w:rFonts w:ascii="Times New Roman" w:hAnsi="Times New Roman"/>
          <w:color w:val="000000"/>
          <w:sz w:val="20"/>
        </w:rPr>
        <w:t>(</w:t>
      </w:r>
      <w:r>
        <w:rPr>
          <w:rFonts w:ascii="Times New Roman" w:hAnsi="Times New Roman"/>
          <w:b/>
          <w:color w:val="000000"/>
          <w:sz w:val="20"/>
        </w:rPr>
        <w:t>14) SUSPENDED EXPLORATORY WELL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capitalize exploratory well costs until a determination is made that the well has either found proved reserves or that it is impaired. Capitalized exploratory well costs are presented in natural gas and oil properties in the accompanying consolidated balance sheets. If an exploratory well is determined to be impaired, the well costs are charged to exploration expense in the accompanying consolidated statements of income.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these wells exhibit sufficient quantities of natural gas to justify future development. The remaining suspended well requires completion activities and infrastructure expansion in order to classify the reserves as proved. The following table reflects the changes in capitalized exploratory well costs for the six months ended June 30, 2026 and the year ended December 31, 2025:</w:t>
      </w:r>
    </w:p>
    <w:tbl>
      <w:tblPr>
        <w:tblW w:w="10205" w:type="dxa"/>
        <w:jc w:val="left"/>
        <w:tblInd w:w="0" w:type="dxa"/>
        <w:tblLayout w:type="fixed"/>
        <w:tblCellMar>
          <w:top w:w="28" w:type="dxa"/>
          <w:left w:w="28" w:type="dxa"/>
          <w:bottom w:w="28" w:type="dxa"/>
          <w:right w:w="28" w:type="dxa"/>
        </w:tblCellMar>
      </w:tblPr>
      <w:tblGrid>
        <w:gridCol w:w="6395"/>
        <w:gridCol w:w="146"/>
        <w:gridCol w:w="319"/>
        <w:gridCol w:w="1115"/>
        <w:gridCol w:w="166"/>
        <w:gridCol w:w="146"/>
        <w:gridCol w:w="338"/>
        <w:gridCol w:w="1086"/>
        <w:gridCol w:w="494"/>
      </w:tblGrid>
      <w:tr>
        <w:trPr/>
        <w:tc>
          <w:tcPr>
            <w:tcW w:w="6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 2025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Additions to capitalized exploratory well costs pending proved reserves determination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Reclassifications to development cost based on determination of proved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Capitalized exploratory well costs, charged to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exploratory well costs capitalized for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Exploratory well costs capitalized for more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19,292</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projects with exploratory well costs capitalized for more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left"/>
        <w:rPr>
          <w:rFonts w:ascii="Times New Roman" w:hAnsi="Times New Roman"/>
          <w:b/>
          <w:color w:val="000000"/>
          <w:sz w:val="20"/>
        </w:rPr>
      </w:pPr>
      <w:bookmarkStart w:id="25" w:name="note_15"/>
      <w:bookmarkEnd w:id="25"/>
      <w:r>
        <w:rPr>
          <w:rFonts w:ascii="Times New Roman" w:hAnsi="Times New Roman"/>
          <w:b/>
          <w:color w:val="000000"/>
          <w:sz w:val="20"/>
        </w:rPr>
        <w:t>(15) NATURAL GAS AND OIL EXPLORATION, DEVELOPMENT AND PRODUCTION ACTIVITIES</w:t>
      </w:r>
    </w:p>
    <w:p>
      <w:pPr>
        <w:pStyle w:val="TextBody"/>
        <w:bidi w:val="0"/>
        <w:jc w:val="left"/>
        <w:rPr>
          <w:rFonts w:ascii="Times New Roman" w:hAnsi="Times New Roman"/>
          <w:sz w:val="20"/>
        </w:rPr>
      </w:pPr>
      <w:r>
        <w:rPr>
          <w:rFonts w:ascii="Times New Roman" w:hAnsi="Times New Roman"/>
          <w:b/>
          <w:color w:val="000000"/>
          <w:sz w:val="20"/>
        </w:rPr>
        <w:t xml:space="preserve">Capitalized Costs and Accumulated Depreciation, Depletion and Amortization </w:t>
      </w:r>
      <w:r>
        <w:rPr>
          <w:rFonts w:ascii="Times New Roman" w:hAnsi="Times New Roman"/>
          <w:b/>
          <w:color w:val="000000"/>
          <w:sz w:val="13"/>
        </w:rPr>
        <w:t>(a)</w:t>
      </w:r>
      <w:r>
        <w:rPr>
          <w:rFonts w:ascii="Times New Roman" w:hAnsi="Times New Roman"/>
          <w:color w:val="000000"/>
          <w:sz w:val="20"/>
        </w:rPr>
        <w:t xml:space="preserve"> </w:t>
      </w:r>
    </w:p>
    <w:p>
      <w:pPr>
        <w:pStyle w:val="TextBody"/>
        <w:bidi w:val="0"/>
        <w:jc w:val="left"/>
        <w:rPr/>
      </w:pPr>
      <w:r>
        <w:rPr/>
        <w:t> </w:t>
      </w:r>
    </w:p>
    <w:tbl>
      <w:tblPr>
        <w:tblW w:w="8948" w:type="dxa"/>
        <w:jc w:val="left"/>
        <w:tblInd w:w="0" w:type="dxa"/>
        <w:tblLayout w:type="fixed"/>
        <w:tblCellMar>
          <w:top w:w="28" w:type="dxa"/>
          <w:left w:w="28" w:type="dxa"/>
          <w:bottom w:w="28" w:type="dxa"/>
          <w:right w:w="28" w:type="dxa"/>
        </w:tblCellMar>
      </w:tblPr>
      <w:tblGrid>
        <w:gridCol w:w="5331"/>
        <w:gridCol w:w="211"/>
        <w:gridCol w:w="1036"/>
        <w:gridCol w:w="166"/>
        <w:gridCol w:w="146"/>
        <w:gridCol w:w="211"/>
        <w:gridCol w:w="1036"/>
        <w:gridCol w:w="811"/>
      </w:tblGrid>
      <w:tr>
        <w:trPr/>
        <w:tc>
          <w:tcPr>
            <w:tcW w:w="5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NGLs and oil properties: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Properties subject to depreciation, depletion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11,635,187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Unproved properties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12,467,944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depletion and depreciation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(5,759,578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capitalized costs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6,708,366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capitalized asset retirement costs and the associated accumulated amortization.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Costs Incurred for Property Acquisition, Exploration and Development </w:t>
      </w:r>
      <w:r>
        <w:rPr>
          <w:rFonts w:ascii="Times New Roman" w:hAnsi="Times New Roman"/>
          <w:b/>
          <w:color w:val="000000"/>
          <w:sz w:val="13"/>
        </w:rPr>
        <w:t>(b)</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574" w:type="dxa"/>
        <w:jc w:val="left"/>
        <w:tblInd w:w="0" w:type="dxa"/>
        <w:tblLayout w:type="fixed"/>
        <w:tblCellMar>
          <w:top w:w="28" w:type="dxa"/>
          <w:left w:w="28" w:type="dxa"/>
          <w:bottom w:w="28" w:type="dxa"/>
          <w:right w:w="28" w:type="dxa"/>
        </w:tblCellMar>
      </w:tblPr>
      <w:tblGrid>
        <w:gridCol w:w="3401"/>
        <w:gridCol w:w="328"/>
        <w:gridCol w:w="1217"/>
        <w:gridCol w:w="146"/>
        <w:gridCol w:w="146"/>
        <w:gridCol w:w="328"/>
        <w:gridCol w:w="1217"/>
        <w:gridCol w:w="791"/>
      </w:tblGrid>
      <w:tr>
        <w:trPr/>
        <w:tc>
          <w:tcPr>
            <w:tcW w:w="340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Acreage purchases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601,326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Drilling</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Expense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Pipeline and facilities:</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Development</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Subtotal</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698,890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incurred</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707,257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 xml:space="preserve">(b) </w:t>
      </w:r>
      <w:r>
        <w:rPr>
          <w:rFonts w:ascii="Times New Roman" w:hAnsi="Times New Roman"/>
          <w:color w:val="000000"/>
          <w:sz w:val="18"/>
        </w:rPr>
        <w:t>Includes costs incurred whether capitalized or expensed.</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26" w:name="item_2_management"/>
      <w:bookmarkEnd w:id="26"/>
      <w:r>
        <w:rPr>
          <w:rFonts w:ascii="Times New Roman" w:hAnsi="Times New Roman"/>
          <w:b/>
          <w:color w:val="000000"/>
          <w:sz w:val="20"/>
        </w:rPr>
        <w:t>ITEM 2. MANAGEMENT’S DISCUSSION AND ANA</w:t>
      </w:r>
      <w:bookmarkStart w:id="27" w:name="item_2_management_discussion"/>
      <w:bookmarkEnd w:id="27"/>
      <w:r>
        <w:rPr>
          <w:rFonts w:ascii="Times New Roman" w:hAnsi="Times New Roman"/>
          <w:b/>
          <w:color w:val="000000"/>
          <w:sz w:val="20"/>
        </w:rPr>
        <w:t>LYSIS OF FINANCIAL CONDITION AND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b/>
          <w:color w:val="000000"/>
          <w:sz w:val="20"/>
        </w:rPr>
        <w:t>Overview of Our Business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are an independent natural gas, natural gas liquids and oil company engaged in the exploration, development and acquisition of natural gas, NGLs and oil properties in the Appalachian region of the United States. We operate in one segment and have a single company-wide management team that administers all properties as a whole rather than by discrete operating segments. We measure financial performance as a single enterprise and not on a geographical or an area-by-area basis.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overarching business objective is to build stockholder value through returns-focused development of properties. Our strategy to achieve our business objective is to generate consistent cash flows from reserves and production through internally generated drilling projects occasionally coupled with complementary acquisitions and divestitures. Currently, our investment portfolio is focused on high-quality natural gas and NGLs assets in the Commonwealth of Pennsylvania. Our revenues, profitability and future growth depend substantially on prevailing prices for natural gas, NGLs and oil and on our ability to economically find, develop, acquire, produce and sell these reserves.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Commodity prices have been and are expected to remain volatile. We believe we are well-positioned to manage challenges that could occur during price variations and that we can endure the continued fluctuations in current and future commodity prices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exercising discipline in our capital investments;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maintaining a competitive cost structure;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diversifying sales outlets;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managing price risk through the partial hedging of our production;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maintaining a strong balance sheet;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optimizing drilling, completion and operational efficiencies.</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Prices for natural gas, NGLs and oil fluctuate widely and affect: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revenues, profitability and cash flow;</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 of cash flow available to us for reinvestment or return to our stockholders;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quantity of natural gas, NGLs and oil that we can economically produce;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quantity of natural gas, NGLs and oil shown as proved reserves;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borrow and raise additional capital, if needed.</w:t>
      </w:r>
    </w:p>
    <w:p>
      <w:pPr>
        <w:pStyle w:val="TextBody"/>
        <w:bidi w:val="0"/>
        <w:spacing w:before="60" w:after="180"/>
        <w:jc w:val="left"/>
        <w:rPr/>
      </w:pPr>
      <w:r>
        <w:rPr>
          <w:rFonts w:ascii="Times New Roman" w:hAnsi="Times New Roman"/>
          <w:color w:val="000000"/>
          <w:sz w:val="20"/>
        </w:rPr>
        <w:t xml:space="preserve">We prepare our financial statements in conformity with U.S. GAAP, which requires us to make estimates and assumptions that affect our reported results of operations and the amount of our reported assets, liabilities and proved reserves. We use the successful efforts method of accounting for our natural gas, NGLs and oil activities. The following discussion and analysis of our financial condition and results of operations should be read in conjunction with the preceding consolidated financial statements and notes in </w:t>
      </w:r>
      <w:hyperlink w:anchor="financial_statements">
        <w:r>
          <w:rPr>
            <w:rStyle w:val="InternetLink"/>
            <w:rFonts w:ascii="Times New Roman" w:hAnsi="Times New Roman"/>
            <w:color w:val="0000FF"/>
            <w:sz w:val="20"/>
            <w:u w:val="single"/>
          </w:rPr>
          <w:t>Item 1</w:t>
        </w:r>
      </w:hyperlink>
      <w:r>
        <w:rPr>
          <w:rFonts w:ascii="Times New Roman" w:hAnsi="Times New Roman"/>
          <w:color w:val="000000"/>
          <w:sz w:val="20"/>
        </w:rPr>
        <w: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Market Conditions</w:t>
      </w:r>
    </w:p>
    <w:p>
      <w:pPr>
        <w:pStyle w:val="TextBody"/>
        <w:bidi w:val="0"/>
        <w:jc w:val="left"/>
        <w:rPr>
          <w:rFonts w:ascii="Times New Roman" w:hAnsi="Times New Roman"/>
          <w:color w:val="000000"/>
          <w:sz w:val="20"/>
        </w:rPr>
      </w:pPr>
      <w:r>
        <w:rPr>
          <w:rFonts w:ascii="Times New Roman" w:hAnsi="Times New Roman"/>
          <w:color w:val="000000"/>
          <w:sz w:val="20"/>
        </w:rPr>
        <w:t>We believe we are positioned for sustainable long-term success. We continue to monitor the impact of the actions of OPEC and other large hydrocarbon producing nations; the Russia-Ukraine war; military action in the Middle East and flows of energy commodities through the Strait of Hormuz; global inventories of natural gas, NGLs and oil; future U.S. infrastructure investment; future monetary and fiscal policy; tariffs and their impacts on global trade and energy demand; and governmental policies aimed at the energy sector, including those focused on transitioning towards lower carbon energy. We expect prices for the commodities we produce to remain volatile given the complex dynamics of supply and demand that exist in the global energy markets. In first six months 2026, average natural gas prices increased primarily due to increased demand from winter weather and liquefied natural gas ("LNG") export growth. Longer-term natural gas futures prices remain constructive based on market expectations of continued LNG export expansion and increasing global power demand, while associated gas-related activity in oil basins and dry gas basin activity are expected to show modest rates of growth due to infrastructure constraints, moderated reinvestment rates and inventory deterioration. In addition, the global energy shortage experienced in recent years and geopolitical disruptions of energy flows from key producing regions further highlighted the need for affordable and reliable fuel sources, supporting continued strong structural demand growth for U.S. LNG exports, as well as domestic electricity generation. Other factors such as supply chain disruptions, cost inflation, concerns over a potential economic recession and the pace of changes in global monetary policy may impact global demand for natural gas, NGLs and oil. We continue to assess and monitor the impact of these factors on our business and operations.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Benchmarks decreased for natural gas and increased for NGLs and oil in second quarter 2026 when compared to the same period of the prior year. Benchmarks increased for natural gas and oil and decreased for NGLs in first six months 2026 when compared to the same period of the prior year.</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following table lists related benchmarks for natural gas, oil and NGLs composite prices for the three and six months ended June 30, 2026 and 2025: </w:t>
      </w:r>
    </w:p>
    <w:tbl>
      <w:tblPr>
        <w:tblW w:w="9215" w:type="dxa"/>
        <w:jc w:val="left"/>
        <w:tblInd w:w="0" w:type="dxa"/>
        <w:tblLayout w:type="fixed"/>
        <w:tblCellMar>
          <w:top w:w="28" w:type="dxa"/>
          <w:left w:w="28" w:type="dxa"/>
          <w:bottom w:w="28" w:type="dxa"/>
          <w:right w:w="28" w:type="dxa"/>
        </w:tblCellMar>
      </w:tblPr>
      <w:tblGrid>
        <w:gridCol w:w="3856"/>
        <w:gridCol w:w="278"/>
        <w:gridCol w:w="752"/>
        <w:gridCol w:w="192"/>
        <w:gridCol w:w="192"/>
        <w:gridCol w:w="278"/>
        <w:gridCol w:w="752"/>
        <w:gridCol w:w="146"/>
        <w:gridCol w:w="146"/>
        <w:gridCol w:w="254"/>
        <w:gridCol w:w="687"/>
        <w:gridCol w:w="175"/>
        <w:gridCol w:w="175"/>
        <w:gridCol w:w="254"/>
        <w:gridCol w:w="687"/>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Benchmarks:</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NYMEX prices </w:t>
            </w:r>
            <w:r>
              <w:rPr>
                <w:rFonts w:ascii="Times New Roman" w:hAnsi="Times New Roman"/>
                <w:color w:val="000000"/>
                <w:sz w:val="13"/>
              </w:rPr>
              <w:t>(a)</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(per mcf)</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(per bbl)</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Mont Belvieu NGLs composite (per gallon) </w:t>
            </w:r>
            <w:r>
              <w:rPr>
                <w:rFonts w:ascii="Times New Roman" w:hAnsi="Times New Roman"/>
                <w:color w:val="000000"/>
                <w:sz w:val="13"/>
              </w:rPr>
              <w:t>(b)</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weighted average of bid week prompt month prices on the New York Mercantile Exchange ("NYMEX").</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Based on our estimated NGLs product composition per barrel.</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Prices for natural gas, NGLs and oil that we produce significantly impact our revenues and cash flows. Our price realizations (not including the impact of our derivatives) may differ from these benchmarks for many reasons, including quality, location or production being sold at different indices.</w:t>
      </w:r>
    </w:p>
    <w:p>
      <w:pPr>
        <w:pStyle w:val="TextBody"/>
        <w:bidi w:val="0"/>
        <w:spacing w:before="0" w:after="180"/>
        <w:jc w:val="left"/>
        <w:rPr>
          <w:rFonts w:ascii="Times New Roman" w:hAnsi="Times New Roman"/>
          <w:sz w:val="20"/>
        </w:rPr>
      </w:pPr>
      <w:r>
        <w:rPr>
          <w:rFonts w:ascii="Times New Roman" w:hAnsi="Times New Roman"/>
          <w:b/>
          <w:color w:val="000000"/>
          <w:sz w:val="20"/>
        </w:rPr>
        <w:t>Consolidated Results of Operations</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Overview of Second Quarter 2026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second quarter 2026, we experienced an increase in revenue from the sale of natural gas, NGLs and oil compared to the same quarter of 2025, due to a 2% increase in net realized prices (average prices including all derivative settlements and third-party transportation costs paid by us) combined with a 5% increase in total production.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second quarter 2026, we recognized net income of $195.3 million, or $0.83 per diluted common share compared to net income of $237.6 million, or $0.99 per diluted common share during second quarter 2025. The lower net income in second quarter 2026 compared to second quarter 2025 is primarily due to lower derivative fair value income.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second quarter 2026 financial and operating performance included the following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from the sale of natural gas, NGLs and oil increased 5% from the same period of 2025 due to a 1% increase in average realized prices (before cash settlements on our derivatives) combined with a 5% increase in production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from the sale of natural gas, NGLs and oil (including cash settlements on our derivatives) increased 6% from the same period of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direct operating expense per mcfe increased to $0.13 during second quarter 2026 compared to $0.11 during the same period of 2025, primarily due to higher water hauling, labor costs and workovers;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transportation, gathering, processing and compression per mcfe remained flat at $1.52 in second quarter 2026 compared to the same period of 2025;</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 per mcfe increased to $0.23 in second quarter 2026 compared to $0.21 in the same period of 2025, primarily due to higher employee-related costs and legal expense; and </w:t>
      </w:r>
    </w:p>
    <w:p>
      <w:pPr>
        <w:pStyle w:val="TextBody"/>
        <w:bidi w:val="0"/>
        <w:spacing w:before="60" w:after="180"/>
        <w:jc w:val="left"/>
        <w:rPr>
          <w:color w:val="000000"/>
        </w:rPr>
      </w:pPr>
      <w:r>
        <w:rPr>
          <w:color w:val="000000"/>
        </w:rPr>
        <w:t>•</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interest expense per mcfe decreased 46% from the same period of 2025 due to lower debt balances and lower interest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Second quarter 2026 also included the following returns of capital and balance sheet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repurchased $78.4 million (2.0 million shares)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paid $23.6 million of dividends, an 11% higher dividend of $0.10 per share compared to $0.09 per share in the same period of 2025;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maintained substantial liquidity with $1.5 billion available under our credit facility.</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generated $235.0 million of cash from operating activities in second quarter 2026, a decrease of $101.2 million from second quarter 2025, primarily due to timing and working capital changes.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Overview of First Six Months 2026 Results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first six months 2026, we experienced an increase in revenue from the sale of natural gas, NGLs and oil compared to the same period of 2025 due to a 17% increase in net realized prices (average prices including all derivative settlements and third-party transportation costs paid by us) and a 2% increase in total production.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first six months 2026, we recognized net income of $537.0 million, or $2.27 per diluted common share compared to net income of $334.6 million, or $1.39 per diluted common share during the same period 2025. The higher net income in first six months 2026 compared to first six months 2025 is primarily due to increased realized prices combined with an increase in production.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first six months 2026 financial and operating performance included the following results: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from the sale of natural gas, NGLs and oil increased 17% from the same period of 2025 due to a 15% increase in average realized prices (before cash settlements on our derivatives) combined with a 2% increase in production volumes;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revenue from the sale of natural gas, NGLs and oil (including cash settlements on our derivatives) increased 14% from the same period of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direct operating expense per mcfe increased to $0.14 in first six months 2026 compared to $0.12 the same period of 2025, primarily due to higher water hauling, labor costs and workovers;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transportation, gathering, processing and compression per mcfe increased to $1.57 in first six months 2026 compared to $1.53 in the same period of 2025, primarily due to an increase in processing and electricity costs;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 per mcfe increased to $0.23 in first six months 2026 compared to $0.21 in the same period of 2025, primarily due to higher employee-related costs, software costs and legal expense; and </w:t>
      </w:r>
    </w:p>
    <w:p>
      <w:pPr>
        <w:pStyle w:val="TextBody"/>
        <w:bidi w:val="0"/>
        <w:spacing w:before="60" w:after="180"/>
        <w:jc w:val="left"/>
        <w:rPr>
          <w:color w:val="000000"/>
        </w:rPr>
      </w:pPr>
      <w:r>
        <w:rPr>
          <w:color w:val="000000"/>
        </w:rPr>
        <w:t>•</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interest expense per mcfe decreased 43% from the same period of 2025 due to lower debt balances and lower interest rates.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First six months 2026 also included the following returns of capital and balance sheet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repurchased $105.5 million (2.8 million shares)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paid $47.5 million of dividends, increasing per share dividend by 11% to a cumulative $0.20 per share compared to $0.18 per share in the same period of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reduced our higher interest rate debt by redeeming $600 million principal balance of our 8.25% senior notes due 2029 by utilizing borrowings under the credit facility, while retaining $1.5 billion in available liquidity under our credit facility.</w:t>
      </w:r>
    </w:p>
    <w:p>
      <w:pPr>
        <w:pStyle w:val="TextBody"/>
        <w:bidi w:val="0"/>
        <w:spacing w:before="60" w:after="180"/>
        <w:jc w:val="left"/>
        <w:rPr>
          <w:rFonts w:ascii="Times New Roman" w:hAnsi="Times New Roman"/>
          <w:color w:val="000000"/>
          <w:sz w:val="20"/>
        </w:rPr>
      </w:pPr>
      <w:r>
        <w:rPr>
          <w:rFonts w:ascii="Times New Roman" w:hAnsi="Times New Roman"/>
          <w:color w:val="000000"/>
          <w:sz w:val="20"/>
        </w:rPr>
        <w:t>We generated $854.2 million of cash from operating activities in first six months 2026, an increase of $187.9 million from first six months 2025, which reflects the impact of higher realized prices.</w:t>
      </w:r>
    </w:p>
    <w:p>
      <w:pPr>
        <w:pStyle w:val="TextBody"/>
        <w:bidi w:val="0"/>
        <w:jc w:val="left"/>
        <w:rPr>
          <w:rFonts w:ascii="Times New Roman" w:hAnsi="Times New Roman"/>
          <w:b/>
          <w:i/>
          <w:color w:val="000000"/>
          <w:sz w:val="20"/>
        </w:rPr>
      </w:pPr>
      <w:r>
        <w:rPr>
          <w:rFonts w:ascii="Times New Roman" w:hAnsi="Times New Roman"/>
          <w:b/>
          <w:i/>
          <w:color w:val="000000"/>
          <w:sz w:val="20"/>
        </w:rPr>
        <w:t>Natural Gas, NGLs and Oil Sales, Production and Realized Price Calculations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revenues vary primarily as a result of changes in realized commodity prices and production volumes. Our revenues are generally recognized when control of the product is transferred to the customer and collectability is reasonably assured. The following table illustrates the primary components of natural gas, NGLs and oil sales for the three and six months ended June 30, 2026 and 2025 (in thousands):</w:t>
      </w:r>
    </w:p>
    <w:tbl>
      <w:tblPr>
        <w:tblW w:w="10562" w:type="dxa"/>
        <w:jc w:val="left"/>
        <w:tblInd w:w="0" w:type="dxa"/>
        <w:tblLayout w:type="fixed"/>
        <w:tblCellMar>
          <w:top w:w="28" w:type="dxa"/>
          <w:left w:w="28" w:type="dxa"/>
          <w:bottom w:w="28" w:type="dxa"/>
          <w:right w:w="28" w:type="dxa"/>
        </w:tblCellMar>
      </w:tblPr>
      <w:tblGrid>
        <w:gridCol w:w="1101"/>
        <w:gridCol w:w="196"/>
        <w:gridCol w:w="691"/>
        <w:gridCol w:w="146"/>
        <w:gridCol w:w="146"/>
        <w:gridCol w:w="196"/>
        <w:gridCol w:w="691"/>
        <w:gridCol w:w="146"/>
        <w:gridCol w:w="146"/>
        <w:gridCol w:w="196"/>
        <w:gridCol w:w="661"/>
        <w:gridCol w:w="166"/>
        <w:gridCol w:w="146"/>
        <w:gridCol w:w="146"/>
        <w:gridCol w:w="346"/>
        <w:gridCol w:w="256"/>
        <w:gridCol w:w="146"/>
        <w:gridCol w:w="196"/>
        <w:gridCol w:w="826"/>
        <w:gridCol w:w="146"/>
        <w:gridCol w:w="146"/>
        <w:gridCol w:w="196"/>
        <w:gridCol w:w="826"/>
        <w:gridCol w:w="146"/>
        <w:gridCol w:w="146"/>
        <w:gridCol w:w="196"/>
        <w:gridCol w:w="691"/>
        <w:gridCol w:w="146"/>
        <w:gridCol w:w="146"/>
        <w:gridCol w:w="146"/>
        <w:gridCol w:w="286"/>
        <w:gridCol w:w="801"/>
      </w:tblGrid>
      <w:tr>
        <w:trPr/>
        <w:tc>
          <w:tcPr>
            <w:tcW w:w="1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Natural gas, NGLs and oil sales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natural gas, NGLs and oil sales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Production growth is generated as new wells are placed in production, which is partially offset by the natural decline in production of existing wells. Our production for the three and six months ended June 30, 2026 and 2025 is set forth in the following table: </w:t>
      </w:r>
    </w:p>
    <w:tbl>
      <w:tblPr>
        <w:tblW w:w="11167" w:type="dxa"/>
        <w:jc w:val="left"/>
        <w:tblInd w:w="0" w:type="dxa"/>
        <w:tblLayout w:type="fixed"/>
        <w:tblCellMar>
          <w:top w:w="28" w:type="dxa"/>
          <w:left w:w="28" w:type="dxa"/>
          <w:bottom w:w="28" w:type="dxa"/>
          <w:right w:w="28" w:type="dxa"/>
        </w:tblCellMar>
      </w:tblPr>
      <w:tblGrid>
        <w:gridCol w:w="986"/>
        <w:gridCol w:w="146"/>
        <w:gridCol w:w="1006"/>
        <w:gridCol w:w="146"/>
        <w:gridCol w:w="146"/>
        <w:gridCol w:w="146"/>
        <w:gridCol w:w="1006"/>
        <w:gridCol w:w="146"/>
        <w:gridCol w:w="146"/>
        <w:gridCol w:w="146"/>
        <w:gridCol w:w="826"/>
        <w:gridCol w:w="146"/>
        <w:gridCol w:w="146"/>
        <w:gridCol w:w="146"/>
        <w:gridCol w:w="196"/>
        <w:gridCol w:w="256"/>
        <w:gridCol w:w="146"/>
        <w:gridCol w:w="146"/>
        <w:gridCol w:w="1006"/>
        <w:gridCol w:w="146"/>
        <w:gridCol w:w="146"/>
        <w:gridCol w:w="146"/>
        <w:gridCol w:w="1006"/>
        <w:gridCol w:w="146"/>
        <w:gridCol w:w="146"/>
        <w:gridCol w:w="146"/>
        <w:gridCol w:w="826"/>
        <w:gridCol w:w="146"/>
        <w:gridCol w:w="146"/>
        <w:gridCol w:w="146"/>
        <w:gridCol w:w="286"/>
        <w:gridCol w:w="701"/>
      </w:tblGrid>
      <w:tr>
        <w:trPr/>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Production </w:t>
            </w:r>
            <w:r>
              <w:rPr>
                <w:rFonts w:ascii="Times New Roman" w:hAnsi="Times New Roman"/>
                <w:b/>
                <w:color w:val="000000"/>
                <w:sz w:val="12"/>
              </w:rPr>
              <w:t>(a)</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140,947,296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136,297,159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276,743,067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272,260,589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10,748,270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20,485,652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19,949,040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(mcfe) </w:t>
            </w:r>
            <w:r>
              <w:rPr>
                <w:rFonts w:ascii="Times New Roman" w:hAnsi="Times New Roman"/>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208,972,296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199,956,211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9,016,085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407,641,503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397,981,049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Average daily production </w:t>
            </w:r>
            <w:r>
              <w:rPr>
                <w:rFonts w:ascii="Times New Roman" w:hAnsi="Times New Roman"/>
                <w:b/>
                <w:color w:val="000000"/>
                <w:sz w:val="12"/>
              </w:rPr>
              <w:t>(a)</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(mcfe) </w:t>
            </w:r>
            <w:r>
              <w:rPr>
                <w:rFonts w:ascii="Times New Roman" w:hAnsi="Times New Roman"/>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2,198,790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volumes sold regardless of when produced.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 xml:space="preserve">Oil and NGLs volumes are converted to mcfe at the rate of one barrel equals six mcf based upon the approximate relative energy content of oil to natural gas, which is not indicative of the relationship between oil and natural gas prices.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average realized price received (including all derivative settlements and third-party transportation costs) during second quarter 2026 was $2.01 per mcfe compared to $1.97 per mcfe in second quarter 2025. Our average realized price received (including all derivative settlements and third-party transportation costs) during first six months 2026 was $2.60 per mcfe compared to $2.22 per mcfe in first six months 2025. Our average realized prices (excluding derivative settlements) do not include derivative settlements or third-party transportation costs which are reported in transportation, gathering, processing and compression expense in the accompanying consolidated statements of income. Our average realized prices (including derivative settlements) do not include transportation costs where we receive net revenue proceeds from purchasers. Our average realized prices (including derivative settlements and third-party transportation costs) calculation also includes all cash settlements for derivatives. We believe computed final realized prices should include the total impact of transportation, gathering, processing and compression expense. Our average realized price calculations for three and six months ended June 30, 2026 and 2025 are shown below:</w:t>
      </w:r>
    </w:p>
    <w:tbl>
      <w:tblPr>
        <w:tblW w:w="10205" w:type="dxa"/>
        <w:jc w:val="left"/>
        <w:tblInd w:w="0" w:type="dxa"/>
        <w:tblLayout w:type="fixed"/>
        <w:tblCellMar>
          <w:top w:w="28" w:type="dxa"/>
          <w:left w:w="28" w:type="dxa"/>
          <w:bottom w:w="28" w:type="dxa"/>
          <w:right w:w="28" w:type="dxa"/>
        </w:tblCellMar>
      </w:tblPr>
      <w:tblGrid>
        <w:gridCol w:w="2154"/>
        <w:gridCol w:w="196"/>
        <w:gridCol w:w="511"/>
        <w:gridCol w:w="146"/>
        <w:gridCol w:w="146"/>
        <w:gridCol w:w="196"/>
        <w:gridCol w:w="511"/>
        <w:gridCol w:w="146"/>
        <w:gridCol w:w="146"/>
        <w:gridCol w:w="196"/>
        <w:gridCol w:w="511"/>
        <w:gridCol w:w="166"/>
        <w:gridCol w:w="146"/>
        <w:gridCol w:w="146"/>
        <w:gridCol w:w="346"/>
        <w:gridCol w:w="265"/>
        <w:gridCol w:w="146"/>
        <w:gridCol w:w="196"/>
        <w:gridCol w:w="511"/>
        <w:gridCol w:w="146"/>
        <w:gridCol w:w="146"/>
        <w:gridCol w:w="196"/>
        <w:gridCol w:w="511"/>
        <w:gridCol w:w="146"/>
        <w:gridCol w:w="146"/>
        <w:gridCol w:w="196"/>
        <w:gridCol w:w="511"/>
        <w:gridCol w:w="146"/>
        <w:gridCol w:w="146"/>
        <w:gridCol w:w="146"/>
        <w:gridCol w:w="286"/>
        <w:gridCol w:w="702"/>
      </w:tblGrid>
      <w:tr>
        <w:trPr/>
        <w:tc>
          <w:tcPr>
            <w:tcW w:w="2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Average Prices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(excluding derivative settlements):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(including derivative settlements):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realized prices (including derivative settlements and third-party transportation costs paid by Range):</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(per bbl)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(per mcfe) </w:t>
            </w:r>
            <w:r>
              <w:rPr>
                <w:rFonts w:ascii="Times New Roman" w:hAnsi="Times New Roman"/>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Oil and NGLs volumes are converted to mcfe at the rate of one barrel equals six mcf based upon the approximate relative energy content of oil to natural gas, which is not indicative of the relationship between oil and natural gas prices.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Realized prices include the impact of basis differentials and gains or losses realized from our basis hedging. The prices we receive for our natural gas can be more or less than the NYMEX price because of adjustments for delivery location, relative quality and other factors. The following table provides this impact on a per mcf basis:</w:t>
      </w:r>
    </w:p>
    <w:tbl>
      <w:tblPr>
        <w:tblW w:w="8815" w:type="dxa"/>
        <w:jc w:val="left"/>
        <w:tblInd w:w="0" w:type="dxa"/>
        <w:tblLayout w:type="fixed"/>
        <w:tblCellMar>
          <w:top w:w="28" w:type="dxa"/>
          <w:left w:w="28" w:type="dxa"/>
          <w:bottom w:w="28" w:type="dxa"/>
          <w:right w:w="28" w:type="dxa"/>
        </w:tblCellMar>
      </w:tblPr>
      <w:tblGrid>
        <w:gridCol w:w="3616"/>
        <w:gridCol w:w="287"/>
        <w:gridCol w:w="706"/>
        <w:gridCol w:w="243"/>
        <w:gridCol w:w="214"/>
        <w:gridCol w:w="287"/>
        <w:gridCol w:w="706"/>
        <w:gridCol w:w="166"/>
        <w:gridCol w:w="146"/>
        <w:gridCol w:w="263"/>
        <w:gridCol w:w="645"/>
        <w:gridCol w:w="222"/>
        <w:gridCol w:w="195"/>
        <w:gridCol w:w="263"/>
        <w:gridCol w:w="645"/>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natural gas differentials below NYMEX</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(0.48</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Realized gains (losses) on basis hedging</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The following tables reflect our production and average sales prices (excluding derivative settlements and third-party transportation costs paid by Range) (in thousands, except prices):</w:t>
      </w:r>
    </w:p>
    <w:tbl>
      <w:tblPr>
        <w:tblW w:w="10797" w:type="dxa"/>
        <w:jc w:val="left"/>
        <w:tblInd w:w="0" w:type="dxa"/>
        <w:tblLayout w:type="fixed"/>
        <w:tblCellMar>
          <w:top w:w="28" w:type="dxa"/>
          <w:left w:w="28" w:type="dxa"/>
          <w:bottom w:w="28" w:type="dxa"/>
          <w:right w:w="28" w:type="dxa"/>
        </w:tblCellMar>
      </w:tblPr>
      <w:tblGrid>
        <w:gridCol w:w="1121"/>
        <w:gridCol w:w="196"/>
        <w:gridCol w:w="691"/>
        <w:gridCol w:w="146"/>
        <w:gridCol w:w="146"/>
        <w:gridCol w:w="196"/>
        <w:gridCol w:w="661"/>
        <w:gridCol w:w="166"/>
        <w:gridCol w:w="146"/>
        <w:gridCol w:w="196"/>
        <w:gridCol w:w="601"/>
        <w:gridCol w:w="146"/>
        <w:gridCol w:w="146"/>
        <w:gridCol w:w="196"/>
        <w:gridCol w:w="691"/>
        <w:gridCol w:w="146"/>
        <w:gridCol w:w="146"/>
        <w:gridCol w:w="196"/>
        <w:gridCol w:w="691"/>
        <w:gridCol w:w="146"/>
        <w:gridCol w:w="146"/>
        <w:gridCol w:w="196"/>
        <w:gridCol w:w="691"/>
        <w:gridCol w:w="146"/>
        <w:gridCol w:w="146"/>
        <w:gridCol w:w="196"/>
        <w:gridCol w:w="601"/>
        <w:gridCol w:w="146"/>
        <w:gridCol w:w="146"/>
        <w:gridCol w:w="196"/>
        <w:gridCol w:w="826"/>
        <w:gridCol w:w="591"/>
      </w:tblGrid>
      <w:tr>
        <w:trPr/>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Natural gas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mcf)</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(Mmcf)</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Natural gas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1,043,877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472" w:type="dxa"/>
        <w:jc w:val="left"/>
        <w:tblInd w:w="0" w:type="dxa"/>
        <w:tblLayout w:type="fixed"/>
        <w:tblCellMar>
          <w:top w:w="28" w:type="dxa"/>
          <w:left w:w="28" w:type="dxa"/>
          <w:bottom w:w="28" w:type="dxa"/>
          <w:right w:w="28" w:type="dxa"/>
        </w:tblCellMar>
      </w:tblPr>
      <w:tblGrid>
        <w:gridCol w:w="1101"/>
        <w:gridCol w:w="196"/>
        <w:gridCol w:w="691"/>
        <w:gridCol w:w="146"/>
        <w:gridCol w:w="146"/>
        <w:gridCol w:w="196"/>
        <w:gridCol w:w="601"/>
        <w:gridCol w:w="146"/>
        <w:gridCol w:w="146"/>
        <w:gridCol w:w="196"/>
        <w:gridCol w:w="601"/>
        <w:gridCol w:w="146"/>
        <w:gridCol w:w="146"/>
        <w:gridCol w:w="196"/>
        <w:gridCol w:w="691"/>
        <w:gridCol w:w="146"/>
        <w:gridCol w:w="146"/>
        <w:gridCol w:w="196"/>
        <w:gridCol w:w="691"/>
        <w:gridCol w:w="146"/>
        <w:gridCol w:w="146"/>
        <w:gridCol w:w="196"/>
        <w:gridCol w:w="601"/>
        <w:gridCol w:w="146"/>
        <w:gridCol w:w="146"/>
        <w:gridCol w:w="196"/>
        <w:gridCol w:w="601"/>
        <w:gridCol w:w="146"/>
        <w:gridCol w:w="146"/>
        <w:gridCol w:w="196"/>
        <w:gridCol w:w="691"/>
        <w:gridCol w:w="591"/>
      </w:tblGrid>
      <w:tr>
        <w:trPr/>
        <w:tc>
          <w:tcPr>
            <w:tcW w:w="1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NGLs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(Mbbls)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NGLs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5"/>
        <w:gridCol w:w="196"/>
        <w:gridCol w:w="601"/>
        <w:gridCol w:w="146"/>
        <w:gridCol w:w="146"/>
        <w:gridCol w:w="196"/>
        <w:gridCol w:w="601"/>
        <w:gridCol w:w="146"/>
        <w:gridCol w:w="146"/>
        <w:gridCol w:w="272"/>
        <w:gridCol w:w="524"/>
        <w:gridCol w:w="146"/>
        <w:gridCol w:w="146"/>
        <w:gridCol w:w="196"/>
        <w:gridCol w:w="601"/>
        <w:gridCol w:w="146"/>
        <w:gridCol w:w="146"/>
        <w:gridCol w:w="196"/>
        <w:gridCol w:w="601"/>
        <w:gridCol w:w="146"/>
        <w:gridCol w:w="146"/>
        <w:gridCol w:w="196"/>
        <w:gridCol w:w="601"/>
        <w:gridCol w:w="146"/>
        <w:gridCol w:w="146"/>
        <w:gridCol w:w="196"/>
        <w:gridCol w:w="601"/>
        <w:gridCol w:w="146"/>
        <w:gridCol w:w="146"/>
        <w:gridCol w:w="196"/>
        <w:gridCol w:w="601"/>
        <w:gridCol w:w="591"/>
      </w:tblGrid>
      <w:tr>
        <w:trPr/>
        <w:tc>
          <w:tcPr>
            <w:tcW w:w="1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Oil</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(Mbbls)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Oil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871" w:type="dxa"/>
        <w:jc w:val="left"/>
        <w:tblInd w:w="0" w:type="dxa"/>
        <w:tblLayout w:type="fixed"/>
        <w:tblCellMar>
          <w:top w:w="28" w:type="dxa"/>
          <w:left w:w="28" w:type="dxa"/>
          <w:bottom w:w="28" w:type="dxa"/>
          <w:right w:w="28" w:type="dxa"/>
        </w:tblCellMar>
      </w:tblPr>
      <w:tblGrid>
        <w:gridCol w:w="1141"/>
        <w:gridCol w:w="196"/>
        <w:gridCol w:w="691"/>
        <w:gridCol w:w="146"/>
        <w:gridCol w:w="146"/>
        <w:gridCol w:w="220"/>
        <w:gridCol w:w="576"/>
        <w:gridCol w:w="146"/>
        <w:gridCol w:w="146"/>
        <w:gridCol w:w="196"/>
        <w:gridCol w:w="601"/>
        <w:gridCol w:w="146"/>
        <w:gridCol w:w="146"/>
        <w:gridCol w:w="196"/>
        <w:gridCol w:w="691"/>
        <w:gridCol w:w="146"/>
        <w:gridCol w:w="146"/>
        <w:gridCol w:w="196"/>
        <w:gridCol w:w="826"/>
        <w:gridCol w:w="146"/>
        <w:gridCol w:w="146"/>
        <w:gridCol w:w="196"/>
        <w:gridCol w:w="691"/>
        <w:gridCol w:w="146"/>
        <w:gridCol w:w="146"/>
        <w:gridCol w:w="196"/>
        <w:gridCol w:w="601"/>
        <w:gridCol w:w="146"/>
        <w:gridCol w:w="146"/>
        <w:gridCol w:w="196"/>
        <w:gridCol w:w="826"/>
        <w:gridCol w:w="591"/>
      </w:tblGrid>
      <w:tr>
        <w:trPr/>
        <w:tc>
          <w:tcPr>
            <w:tcW w:w="11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Volume</w:t>
              <w:br/>
              <w:t>Variance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Price (per mcfe)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(Mmcfe)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407,642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natural gas, NGLs and oil sales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1,712,339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Transportation, gathering, processing and compression </w:t>
      </w:r>
      <w:r>
        <w:rPr>
          <w:rFonts w:ascii="Times New Roman" w:hAnsi="Times New Roman"/>
          <w:color w:val="000000"/>
          <w:sz w:val="20"/>
        </w:rPr>
        <w:t xml:space="preserve">expense was $316.8 million in second quarter 2026 compared to $304.7 million in second quarter 2025. These third-party costs were higher in second quarter 2026 compared to second quarter 2025 primarily due to an increase in processing costs due to higher commodity prices and volumes.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Transportation, gathering, processing and compression expense was $640.1 million in first six months 2026 compared to $610.8 million in first six months 2025. These third-party costs associated with NGLs were higher in first six months 2026 compared to first six months 2025 primarily due to an increase in electricity and processing costs due to higher prices and volumes. Third-party costs associated with natural gas increased due to an increase in volumes and facility and equipment costs associated with gathering. We have included these costs in the calculation of average realized prices (including derivative settlements and third-party transportation expenses paid by Range). The following table summarizes transportation, gathering, processing and compression expense for the three and six months ended June 30, 2026 and 2025 on a per mcf and per barrel basis (in thousands, except for costs per unit):</w:t>
      </w:r>
    </w:p>
    <w:tbl>
      <w:tblPr>
        <w:tblW w:w="10472" w:type="dxa"/>
        <w:jc w:val="left"/>
        <w:tblInd w:w="0" w:type="dxa"/>
        <w:tblLayout w:type="fixed"/>
        <w:tblCellMar>
          <w:top w:w="28" w:type="dxa"/>
          <w:left w:w="28" w:type="dxa"/>
          <w:bottom w:w="28" w:type="dxa"/>
          <w:right w:w="28" w:type="dxa"/>
        </w:tblCellMar>
      </w:tblPr>
      <w:tblGrid>
        <w:gridCol w:w="1351"/>
        <w:gridCol w:w="196"/>
        <w:gridCol w:w="691"/>
        <w:gridCol w:w="146"/>
        <w:gridCol w:w="146"/>
        <w:gridCol w:w="196"/>
        <w:gridCol w:w="691"/>
        <w:gridCol w:w="146"/>
        <w:gridCol w:w="146"/>
        <w:gridCol w:w="196"/>
        <w:gridCol w:w="601"/>
        <w:gridCol w:w="166"/>
        <w:gridCol w:w="146"/>
        <w:gridCol w:w="146"/>
        <w:gridCol w:w="346"/>
        <w:gridCol w:w="256"/>
        <w:gridCol w:w="146"/>
        <w:gridCol w:w="196"/>
        <w:gridCol w:w="691"/>
        <w:gridCol w:w="146"/>
        <w:gridCol w:w="146"/>
        <w:gridCol w:w="196"/>
        <w:gridCol w:w="691"/>
        <w:gridCol w:w="146"/>
        <w:gridCol w:w="146"/>
        <w:gridCol w:w="196"/>
        <w:gridCol w:w="601"/>
        <w:gridCol w:w="166"/>
        <w:gridCol w:w="146"/>
        <w:gridCol w:w="146"/>
        <w:gridCol w:w="346"/>
        <w:gridCol w:w="801"/>
      </w:tblGrid>
      <w:tr>
        <w:trPr/>
        <w:tc>
          <w:tcPr>
            <w:tcW w:w="1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Transportation, gathering</w:t>
              <w:br/>
              <w:t>     processing and compression</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Natural gas (per mcf)</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NGLs (per bbl)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Oil (per bbl)</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Total (per mcfe)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 xml:space="preserve">Derivative fair value income </w:t>
      </w:r>
      <w:r>
        <w:rPr>
          <w:rFonts w:ascii="Times New Roman" w:hAnsi="Times New Roman"/>
          <w:color w:val="000000"/>
          <w:sz w:val="20"/>
        </w:rPr>
        <w:t>was $73.5 million in second quarter 2026 compared to income of $154.7 million in second quarter 2025. Derivative fair value income was $40.1 million in first six months 2026 compared to a loss of $4.2 million in first six months 2025. All of our derivatives are accounted for using the mark-to-market accounting method. Mark-to-market accounting treatment can result in more volatility of our revenues as the change in the fair value of our commodity derivative positions is included in total revenue. As commodity prices increase or decrease, such changes will have an opposite effect on the mark-to-market value of our derivatives. Gains on our derivatives generally indicate potentially lower wellhead revenues in the future while derivative losses indicate potentially higher future wellhead revenues. The following table summarizes the impact of our commodity derivatives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5240"/>
        <w:gridCol w:w="196"/>
        <w:gridCol w:w="661"/>
        <w:gridCol w:w="166"/>
        <w:gridCol w:w="146"/>
        <w:gridCol w:w="196"/>
        <w:gridCol w:w="691"/>
        <w:gridCol w:w="146"/>
        <w:gridCol w:w="146"/>
        <w:gridCol w:w="196"/>
        <w:gridCol w:w="661"/>
        <w:gridCol w:w="166"/>
        <w:gridCol w:w="146"/>
        <w:gridCol w:w="196"/>
        <w:gridCol w:w="661"/>
        <w:gridCol w:w="591"/>
      </w:tblGrid>
      <w:tr>
        <w:trPr/>
        <w:tc>
          <w:tcPr>
            <w:tcW w:w="5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Derivative fair value income (loss) per consolidated statements of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Non-cash fair value income (loss): </w:t>
            </w:r>
            <w:r>
              <w:rPr>
                <w:rFonts w:ascii="Times New Roman" w:hAnsi="Times New Roman"/>
                <w:b/>
                <w:color w:val="000000"/>
                <w:sz w:val="12"/>
              </w:rPr>
              <w:t>(a)</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Total non-cash fair value income (loss) </w:t>
            </w:r>
            <w:r>
              <w:rPr>
                <w:rFonts w:ascii="Times New Roman" w:hAnsi="Times New Roman"/>
                <w:color w:val="000000"/>
                <w:sz w:val="12"/>
              </w:rPr>
              <w:t>(a)</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123,281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receipt (payment) on derivative settlements: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NGLs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derivatives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net cash receipt (payment)</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35,288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31,466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36,039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18"/>
        </w:rPr>
      </w:pPr>
      <w:r>
        <w:rPr>
          <w:rFonts w:ascii="Times New Roman" w:hAnsi="Times New Roman"/>
          <w:color w:val="000000"/>
          <w:sz w:val="18"/>
        </w:rPr>
        <w:t>(a)</w:t>
      </w:r>
    </w:p>
    <w:p>
      <w:pPr>
        <w:pStyle w:val="TextBody"/>
        <w:bidi w:val="0"/>
        <w:spacing w:before="180" w:after="180"/>
        <w:jc w:val="left"/>
        <w:rPr>
          <w:rFonts w:ascii="Times New Roman" w:hAnsi="Times New Roman"/>
          <w:color w:val="000000"/>
          <w:sz w:val="18"/>
        </w:rPr>
      </w:pPr>
      <w:r>
        <w:rPr>
          <w:rFonts w:ascii="Times New Roman" w:hAnsi="Times New Roman"/>
          <w:color w:val="000000"/>
          <w:sz w:val="18"/>
        </w:rPr>
        <w:t xml:space="preserve">Non-cash fair value adjustments on commodity derivatives is a non-U.S. GAAP measure. Non-cash fair value adjustments on commodity derivatives only represent the net change between periods of the fair market values of commodity derivative positions and exclude the impact of settlements on commodity derivatives during the period. We believe that non-cash fair value adjustments on commodity derivatives is a useful supplemental disclosure to differentiate non-cash fair market value adjustments from settlements on commodity derivatives during the period. Non-cash fair value adjustments on commodity derivatives is not a measure of financial or operating performance under U.S. GAAP, nor should it be considered a substitute for derivative fair value income or loss as reported in our consolidated statements of income.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 xml:space="preserve">Brokered natural gas, NGLs and marketing </w:t>
      </w:r>
      <w:r>
        <w:rPr>
          <w:rFonts w:ascii="Times New Roman" w:hAnsi="Times New Roman"/>
          <w:color w:val="000000"/>
          <w:sz w:val="20"/>
        </w:rPr>
        <w:t xml:space="preserve">revenue was $57.5 million in second quarter 2026 compared to $33.0 million in second quarter 2025, which is primarily the result of higher broker natural gas sales volumes (volumes not related to our production) slightly offset by lower broker natural gas sales prices. Brokered natural gas, NGLs and marketing revenue was $114.7 million in first six months 2026 compared to $87.4 million in first six months 2025, which is the result of higher broker natural gas sales volumes (volumes not related to our production) slightly offset by lower broker natural gas sales prices. We continue to optimize our transportation portfolio using these volumes. See also </w:t>
      </w:r>
      <w:r>
        <w:rPr>
          <w:rFonts w:ascii="Times New Roman" w:hAnsi="Times New Roman"/>
          <w:i/>
          <w:color w:val="000000"/>
          <w:sz w:val="20"/>
        </w:rPr>
        <w:t>Brokered</w:t>
      </w:r>
      <w:r>
        <w:rPr>
          <w:rFonts w:ascii="Times New Roman" w:hAnsi="Times New Roman"/>
          <w:color w:val="000000"/>
          <w:sz w:val="20"/>
        </w:rPr>
        <w:t xml:space="preserve"> </w:t>
      </w:r>
      <w:r>
        <w:rPr>
          <w:rFonts w:ascii="Times New Roman" w:hAnsi="Times New Roman"/>
          <w:i/>
          <w:color w:val="000000"/>
          <w:sz w:val="20"/>
        </w:rPr>
        <w:t xml:space="preserve">natural gas, NGLs and marketing </w:t>
      </w:r>
      <w:r>
        <w:rPr>
          <w:rFonts w:ascii="Times New Roman" w:hAnsi="Times New Roman"/>
          <w:color w:val="000000"/>
          <w:sz w:val="20"/>
        </w:rPr>
        <w:t>expense below for more information on our net brokered margin.</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Other income </w:t>
      </w:r>
      <w:r>
        <w:rPr>
          <w:rFonts w:ascii="Times New Roman" w:hAnsi="Times New Roman"/>
          <w:color w:val="000000"/>
          <w:sz w:val="20"/>
        </w:rPr>
        <w:t xml:space="preserve">was $448,000 in second quarter 2026 compared to $1.9 million in second quarter 2025. This includes $27,000 of interest income and a $23,000 gain on sale of assets in second quarter 2026 compared to $1.8 million of interest income and a $78,000 gain on sale of assets in second quarter 2025. Other income was $566,000 in first six months 2026 compared to $5.1 million in first six months 2025. This includes $82,000 of interest income and a $29,000 gain on sale of assets in first six months 2026 compared to $4.8 million of interest income and a $136,000 gain on sale of assets in first six months 2025. Interest income is lower in 2026 due to lower cash balances primarily resulting from the use of cash to repay senior notes in May 2025.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Operating Costs per Mcfe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believe some of our expense fluctuations are best analyzed on a unit-of-production or per mcfe basis. The following table presents information about certain of our expenses on a per mcfe basis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765"/>
        <w:gridCol w:w="196"/>
        <w:gridCol w:w="421"/>
        <w:gridCol w:w="146"/>
        <w:gridCol w:w="146"/>
        <w:gridCol w:w="196"/>
        <w:gridCol w:w="421"/>
        <w:gridCol w:w="146"/>
        <w:gridCol w:w="146"/>
        <w:gridCol w:w="204"/>
        <w:gridCol w:w="502"/>
        <w:gridCol w:w="166"/>
        <w:gridCol w:w="146"/>
        <w:gridCol w:w="146"/>
        <w:gridCol w:w="346"/>
        <w:gridCol w:w="296"/>
        <w:gridCol w:w="146"/>
        <w:gridCol w:w="196"/>
        <w:gridCol w:w="421"/>
        <w:gridCol w:w="146"/>
        <w:gridCol w:w="146"/>
        <w:gridCol w:w="196"/>
        <w:gridCol w:w="421"/>
        <w:gridCol w:w="146"/>
        <w:gridCol w:w="146"/>
        <w:gridCol w:w="204"/>
        <w:gridCol w:w="502"/>
        <w:gridCol w:w="166"/>
        <w:gridCol w:w="146"/>
        <w:gridCol w:w="146"/>
        <w:gridCol w:w="346"/>
        <w:gridCol w:w="342"/>
      </w:tblGrid>
      <w:tr>
        <w:trPr/>
        <w:tc>
          <w:tcPr>
            <w:tcW w:w="2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other than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Depletion, depreciation and amortization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Direct operating</w:t>
      </w:r>
      <w:r>
        <w:rPr>
          <w:rFonts w:ascii="Times New Roman" w:hAnsi="Times New Roman"/>
          <w:color w:val="000000"/>
          <w:sz w:val="20"/>
        </w:rPr>
        <w:t xml:space="preserve"> expense was $27.8 million in second quarter 2026 compared to $23.1 million in second quarter 2025. Direct operating expenses include normally recurring expenses to operate and produce our wells, non-recurring workover costs and repair-related expenses. Our direct operating costs increased in second quarter 2026 primarily due to higher water hauling costs, labor costs and workovers. We incurred $1.8 million of workover costs in second quarter 2026 compared to $803,000 in second quarter 2025.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Direct operating expense was $56.5 million in first six months 2026 compared to $48.5 million in first six months 2025. Our direct operating costs increased in first six months 2026 primarily due to higher water hauling, labor costs and workovers. We incurred $2.4 million workover costs in first six months 2026 compared to $1.6 million in first six months 2025. The following table summarizes direct operating expense per mcfe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526"/>
        <w:gridCol w:w="196"/>
        <w:gridCol w:w="421"/>
        <w:gridCol w:w="146"/>
        <w:gridCol w:w="146"/>
        <w:gridCol w:w="196"/>
        <w:gridCol w:w="421"/>
        <w:gridCol w:w="146"/>
        <w:gridCol w:w="146"/>
        <w:gridCol w:w="224"/>
        <w:gridCol w:w="482"/>
        <w:gridCol w:w="146"/>
        <w:gridCol w:w="146"/>
        <w:gridCol w:w="146"/>
        <w:gridCol w:w="376"/>
        <w:gridCol w:w="256"/>
        <w:gridCol w:w="146"/>
        <w:gridCol w:w="196"/>
        <w:gridCol w:w="421"/>
        <w:gridCol w:w="146"/>
        <w:gridCol w:w="146"/>
        <w:gridCol w:w="196"/>
        <w:gridCol w:w="421"/>
        <w:gridCol w:w="146"/>
        <w:gridCol w:w="146"/>
        <w:gridCol w:w="224"/>
        <w:gridCol w:w="482"/>
        <w:gridCol w:w="146"/>
        <w:gridCol w:w="146"/>
        <w:gridCol w:w="146"/>
        <w:gridCol w:w="376"/>
        <w:gridCol w:w="601"/>
      </w:tblGrid>
      <w:tr>
        <w:trPr/>
        <w:tc>
          <w:tcPr>
            <w:tcW w:w="2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operating</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operating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Workovers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direct operating expense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Taxes other than income</w:t>
      </w:r>
      <w:r>
        <w:rPr>
          <w:rFonts w:ascii="Times New Roman" w:hAnsi="Times New Roman"/>
          <w:color w:val="000000"/>
          <w:sz w:val="20"/>
        </w:rPr>
        <w:t xml:space="preserve"> expense is predominantly comprised of the Pennsylvania impact fee which functions as a tax on unconventional natural gas and oil production in Pennsylvania. This impact fee was $6.6 million in second quarter 2026 compared to $7.4 million in second quarter 2025 and $12.4 million in first six months 2026 compared to $14.3 million in first six months 2025. The impact fee is based on drilling activities and is adjusted based on prevailing natural gas prices, which is consistent with the prior year. This category also includes franchise, real estate and other applicable taxes. The following table summarizes taxes other than income per mcfe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486"/>
        <w:gridCol w:w="196"/>
        <w:gridCol w:w="421"/>
        <w:gridCol w:w="146"/>
        <w:gridCol w:w="146"/>
        <w:gridCol w:w="196"/>
        <w:gridCol w:w="421"/>
        <w:gridCol w:w="146"/>
        <w:gridCol w:w="146"/>
        <w:gridCol w:w="204"/>
        <w:gridCol w:w="502"/>
        <w:gridCol w:w="166"/>
        <w:gridCol w:w="146"/>
        <w:gridCol w:w="146"/>
        <w:gridCol w:w="346"/>
        <w:gridCol w:w="315"/>
        <w:gridCol w:w="146"/>
        <w:gridCol w:w="196"/>
        <w:gridCol w:w="421"/>
        <w:gridCol w:w="146"/>
        <w:gridCol w:w="146"/>
        <w:gridCol w:w="196"/>
        <w:gridCol w:w="421"/>
        <w:gridCol w:w="146"/>
        <w:gridCol w:w="146"/>
        <w:gridCol w:w="204"/>
        <w:gridCol w:w="502"/>
        <w:gridCol w:w="166"/>
        <w:gridCol w:w="146"/>
        <w:gridCol w:w="146"/>
        <w:gridCol w:w="346"/>
        <w:gridCol w:w="602"/>
      </w:tblGrid>
      <w:tr>
        <w:trPr/>
        <w:tc>
          <w:tcPr>
            <w:tcW w:w="2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Taxes other than income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Impact fee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taxes other than income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General and administrative ("G&amp;A")</w:t>
      </w:r>
      <w:r>
        <w:rPr>
          <w:rFonts w:ascii="Times New Roman" w:hAnsi="Times New Roman"/>
          <w:color w:val="000000"/>
          <w:sz w:val="20"/>
        </w:rPr>
        <w:t xml:space="preserve"> expense was $47.7 million in second quarter 2026 compared to $42.1 million in second quarter 2025. The second quarter 2026 increase of $5.6 million compared to the same period of 2025 is primarily due to higher employee-related costs and legal expense.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G&amp;A expense was $93.1 million in first six months 2026 compared to $83.8 million in first six months 2025. The increase of $9.2 million is primarily due to higher employee-related costs, software costs and legal expense. The following table summarizes G&amp;A expense on a per mcfe basis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2586"/>
        <w:gridCol w:w="196"/>
        <w:gridCol w:w="421"/>
        <w:gridCol w:w="146"/>
        <w:gridCol w:w="146"/>
        <w:gridCol w:w="196"/>
        <w:gridCol w:w="421"/>
        <w:gridCol w:w="146"/>
        <w:gridCol w:w="146"/>
        <w:gridCol w:w="224"/>
        <w:gridCol w:w="482"/>
        <w:gridCol w:w="146"/>
        <w:gridCol w:w="146"/>
        <w:gridCol w:w="146"/>
        <w:gridCol w:w="346"/>
        <w:gridCol w:w="256"/>
        <w:gridCol w:w="146"/>
        <w:gridCol w:w="196"/>
        <w:gridCol w:w="421"/>
        <w:gridCol w:w="146"/>
        <w:gridCol w:w="146"/>
        <w:gridCol w:w="196"/>
        <w:gridCol w:w="421"/>
        <w:gridCol w:w="146"/>
        <w:gridCol w:w="146"/>
        <w:gridCol w:w="224"/>
        <w:gridCol w:w="482"/>
        <w:gridCol w:w="146"/>
        <w:gridCol w:w="146"/>
        <w:gridCol w:w="146"/>
        <w:gridCol w:w="346"/>
        <w:gridCol w:w="601"/>
      </w:tblGrid>
      <w:tr>
        <w:trPr/>
        <w:tc>
          <w:tcPr>
            <w:tcW w:w="2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General and administrative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general and administrative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180"/>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was $14.4 million in second quarter 2026 compared to $26.8 million in second quarter 2025. Interest expense was $33.8 million in first six months 2026 compared to $56.0 million in first six months 2025. The following table presents information about interest expense per mcfe for the three and six months ended June 30, 2026 and 2025: </w:t>
      </w:r>
    </w:p>
    <w:tbl>
      <w:tblPr>
        <w:tblW w:w="11182" w:type="dxa"/>
        <w:jc w:val="left"/>
        <w:tblInd w:w="0" w:type="dxa"/>
        <w:tblLayout w:type="fixed"/>
        <w:tblCellMar>
          <w:top w:w="28" w:type="dxa"/>
          <w:left w:w="28" w:type="dxa"/>
          <w:bottom w:w="28" w:type="dxa"/>
          <w:right w:w="28" w:type="dxa"/>
        </w:tblCellMar>
      </w:tblPr>
      <w:tblGrid>
        <w:gridCol w:w="1036"/>
        <w:gridCol w:w="196"/>
        <w:gridCol w:w="691"/>
        <w:gridCol w:w="241"/>
        <w:gridCol w:w="146"/>
        <w:gridCol w:w="196"/>
        <w:gridCol w:w="826"/>
        <w:gridCol w:w="241"/>
        <w:gridCol w:w="146"/>
        <w:gridCol w:w="196"/>
        <w:gridCol w:w="751"/>
        <w:gridCol w:w="241"/>
        <w:gridCol w:w="146"/>
        <w:gridCol w:w="146"/>
        <w:gridCol w:w="376"/>
        <w:gridCol w:w="241"/>
        <w:gridCol w:w="146"/>
        <w:gridCol w:w="196"/>
        <w:gridCol w:w="826"/>
        <w:gridCol w:w="241"/>
        <w:gridCol w:w="146"/>
        <w:gridCol w:w="196"/>
        <w:gridCol w:w="826"/>
        <w:gridCol w:w="241"/>
        <w:gridCol w:w="146"/>
        <w:gridCol w:w="196"/>
        <w:gridCol w:w="751"/>
        <w:gridCol w:w="241"/>
        <w:gridCol w:w="146"/>
        <w:gridCol w:w="146"/>
        <w:gridCol w:w="436"/>
        <w:gridCol w:w="486"/>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Change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Bank credit facility </w:t>
            </w:r>
            <w:r>
              <w:rPr>
                <w:rFonts w:ascii="Times New Roman" w:hAnsi="Times New Roman"/>
                <w:color w:val="000000"/>
                <w:sz w:val="11"/>
              </w:rPr>
              <w:t>(a)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Senior notes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of debt issuance costs and 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Total interest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Average debt outstanding ($000)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899,730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1,499,704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(599,974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1,054,878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1,603,211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(548,333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7"/>
              </w:rPr>
            </w:pPr>
            <w:r>
              <w:rPr>
                <w:rFonts w:ascii="Times New Roman" w:hAnsi="Times New Roman"/>
                <w:color w:val="000000"/>
                <w:sz w:val="17"/>
              </w:rPr>
              <w:t xml:space="preserve">Average interest rate </w:t>
            </w:r>
            <w:r>
              <w:rPr>
                <w:rFonts w:ascii="Times New Roman" w:hAnsi="Times New Roman"/>
                <w:color w:val="000000"/>
                <w:sz w:val="11"/>
              </w:rPr>
              <w:t>(b)</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commitment fees.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(b)</w:t>
      </w:r>
    </w:p>
    <w:p>
      <w:pPr>
        <w:pStyle w:val="TextBody"/>
        <w:bidi w:val="0"/>
        <w:jc w:val="left"/>
        <w:rPr>
          <w:rFonts w:ascii="Times New Roman" w:hAnsi="Times New Roman"/>
          <w:color w:val="000000"/>
          <w:sz w:val="18"/>
        </w:rPr>
      </w:pPr>
      <w:r>
        <w:rPr>
          <w:rFonts w:ascii="Times New Roman" w:hAnsi="Times New Roman"/>
          <w:color w:val="000000"/>
          <w:sz w:val="18"/>
        </w:rPr>
        <w:t>Excludes debt issuance costs.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decrease in interest expense for three and six months ended June 30, 2026 compared to the same periods of 2025 was primarily due to lower average outstanding debt balances and lower average interest rates. In January 2026, we repaid the $600 million principal balance of our 8.25% senior notes due 2029 by utilizing borrowings on our credit facility. In May 2025, we repaid the remaining principal balance of $606.5 million of our 4.875% senior notes due 2025 by utilizing cash on hand and borrowing on our credit facility. We had $381.0 million outstanding on the bank credit facility as of June 30, 2026 compared to $125.0 million outstanding for the same period of 2025. </w:t>
      </w:r>
    </w:p>
    <w:p>
      <w:pPr>
        <w:pStyle w:val="TextBody"/>
        <w:bidi w:val="0"/>
        <w:spacing w:before="0" w:after="180"/>
        <w:jc w:val="left"/>
        <w:rPr>
          <w:rFonts w:ascii="Times New Roman" w:hAnsi="Times New Roman"/>
          <w:sz w:val="20"/>
        </w:rPr>
      </w:pPr>
      <w:r>
        <w:rPr>
          <w:rFonts w:ascii="Times New Roman" w:hAnsi="Times New Roman"/>
          <w:b/>
          <w:i/>
          <w:color w:val="000000"/>
          <w:sz w:val="20"/>
        </w:rPr>
        <w:t>Depletion, depreciation and amortization ("DD&amp;A")</w:t>
      </w:r>
      <w:r>
        <w:rPr>
          <w:rFonts w:ascii="Times New Roman" w:hAnsi="Times New Roman"/>
          <w:color w:val="000000"/>
          <w:sz w:val="20"/>
        </w:rPr>
        <w:t xml:space="preserve"> expense was $93.1 million in second quarter 2026 compared to $91.5 million in second quarter 2025 and $181.6 million in first six months 2026 compared to $182.1 million in first six months 2025. This increase in expense for the quarter ended June 30, 2026 compared to the prior year was due to higher production volumes slightly offset by lower depletion rates. The decrease in expense for the six months ended June 30, 2026 compared to prior year was primarily due to the reduction in the depletion rate. Depletion expense, the largest component of DD&amp;A expense, was $0.44 per mcfe in second quarter 2026 and first six months 2026 compared to $0.45 per mcfe in the same periods of 2025. We have historically adjusted our depletion rates in the fourth quarter of each year based on the year-end reserve report and at other times during the year when circumstances indicate there has been a significant change in reserves or costs. The following table summarizes DD&amp;A expense per mcfe for the three and six months ended June 30, 2026 and 2025:</w:t>
      </w:r>
    </w:p>
    <w:tbl>
      <w:tblPr>
        <w:tblW w:w="9945" w:type="dxa"/>
        <w:jc w:val="left"/>
        <w:tblInd w:w="0" w:type="dxa"/>
        <w:tblLayout w:type="fixed"/>
        <w:tblCellMar>
          <w:top w:w="28" w:type="dxa"/>
          <w:left w:w="28" w:type="dxa"/>
          <w:bottom w:w="28" w:type="dxa"/>
          <w:right w:w="28" w:type="dxa"/>
        </w:tblCellMar>
      </w:tblPr>
      <w:tblGrid>
        <w:gridCol w:w="2226"/>
        <w:gridCol w:w="196"/>
        <w:gridCol w:w="421"/>
        <w:gridCol w:w="146"/>
        <w:gridCol w:w="146"/>
        <w:gridCol w:w="196"/>
        <w:gridCol w:w="421"/>
        <w:gridCol w:w="146"/>
        <w:gridCol w:w="146"/>
        <w:gridCol w:w="204"/>
        <w:gridCol w:w="502"/>
        <w:gridCol w:w="166"/>
        <w:gridCol w:w="146"/>
        <w:gridCol w:w="146"/>
        <w:gridCol w:w="346"/>
        <w:gridCol w:w="316"/>
        <w:gridCol w:w="146"/>
        <w:gridCol w:w="196"/>
        <w:gridCol w:w="421"/>
        <w:gridCol w:w="146"/>
        <w:gridCol w:w="146"/>
        <w:gridCol w:w="196"/>
        <w:gridCol w:w="421"/>
        <w:gridCol w:w="146"/>
        <w:gridCol w:w="146"/>
        <w:gridCol w:w="204"/>
        <w:gridCol w:w="502"/>
        <w:gridCol w:w="166"/>
        <w:gridCol w:w="146"/>
        <w:gridCol w:w="146"/>
        <w:gridCol w:w="346"/>
        <w:gridCol w:w="601"/>
      </w:tblGrid>
      <w:tr>
        <w:trPr/>
        <w:tc>
          <w:tcPr>
            <w:tcW w:w="2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DD&amp;A</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Depletion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DD&amp;A expense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left"/>
        <w:rPr>
          <w:rFonts w:ascii="Times New Roman" w:hAnsi="Times New Roman"/>
          <w:sz w:val="20"/>
        </w:rPr>
      </w:pPr>
      <w:r>
        <w:rPr>
          <w:rFonts w:ascii="Times New Roman" w:hAnsi="Times New Roman"/>
          <w:b/>
          <w:i/>
          <w:color w:val="000000"/>
          <w:sz w:val="20"/>
        </w:rPr>
        <w:t>Other Operating Expenses</w:t>
      </w:r>
      <w:r>
        <w:rPr>
          <w:rFonts w:ascii="Times New Roman" w:hAnsi="Times New Roman"/>
          <w:color w:val="000000"/>
          <w:sz w:val="20"/>
        </w:rPr>
        <w:t xml:space="preserve"> </w:t>
      </w:r>
    </w:p>
    <w:p>
      <w:pPr>
        <w:pStyle w:val="TextBody"/>
        <w:bidi w:val="0"/>
        <w:spacing w:before="0" w:after="180"/>
        <w:jc w:val="left"/>
        <w:rPr/>
      </w:pPr>
      <w:r>
        <w:rPr>
          <w:rFonts w:ascii="Times New Roman" w:hAnsi="Times New Roman"/>
          <w:color w:val="000000"/>
          <w:sz w:val="20"/>
        </w:rPr>
        <w:t xml:space="preserve">Our total operating expenses also include other expenses that generally do not trend with production. These expenses include stock-based compensation, brokered natural gas, NGLs and marketing expense, exploration expense, abandonment and impairment of unproved properties, exit costs, deferred compensation plan expense and gain on early extinguishment of debt. Stock-based compensation includes the amortization of restricted stock grants and performance units. See </w:t>
      </w:r>
      <w:hyperlink w:anchor="note_9">
        <w:r>
          <w:rPr>
            <w:rStyle w:val="InternetLink"/>
            <w:rFonts w:ascii="Times New Roman" w:hAnsi="Times New Roman"/>
            <w:color w:val="0000FF"/>
            <w:sz w:val="20"/>
            <w:u w:val="single"/>
          </w:rPr>
          <w:t>Note 9</w:t>
        </w:r>
      </w:hyperlink>
      <w:r>
        <w:rPr>
          <w:rFonts w:ascii="Times New Roman" w:hAnsi="Times New Roman"/>
          <w:color w:val="000000"/>
          <w:sz w:val="20"/>
        </w:rPr>
        <w:t xml:space="preserve"> to our consolidated financial statements for more information on allocation of stock-based compensation by functional expense categories. </w:t>
      </w:r>
    </w:p>
    <w:p>
      <w:pPr>
        <w:pStyle w:val="TextBody"/>
        <w:bidi w:val="0"/>
        <w:spacing w:before="0" w:after="180"/>
        <w:jc w:val="left"/>
        <w:rPr>
          <w:rFonts w:ascii="Times New Roman" w:hAnsi="Times New Roman"/>
          <w:sz w:val="20"/>
        </w:rPr>
      </w:pPr>
      <w:r>
        <w:rPr>
          <w:rFonts w:ascii="Times New Roman" w:hAnsi="Times New Roman"/>
          <w:b/>
          <w:i/>
          <w:color w:val="000000"/>
          <w:sz w:val="20"/>
        </w:rPr>
        <w:t>Brokered natural gas, NGLs and marketing</w:t>
      </w:r>
      <w:r>
        <w:rPr>
          <w:rFonts w:ascii="Times New Roman" w:hAnsi="Times New Roman"/>
          <w:color w:val="000000"/>
          <w:sz w:val="20"/>
        </w:rPr>
        <w:t xml:space="preserve"> expense was $59.3 million in second quarter 2026 compared to $35.0 million in second quarter 2025 which is primarily the result of higher broker natural gas sales volumes (volumes not related to our production) slightly offset by lower broker natural gas sales prices. Brokered natural gas, NGLs and marketing expense was $117.5 million in first six months 2026 compared to $93.2 million in first six months 2025 which is primarily the result of higher broker natural gas sales volumes (volumes not related to our production) slightly offset by lower broker natural gas sales prices. The following table details our brokered natural gas, NGLs and marketing net margin for the three and six months ended June 30, 2026 and 2025 (in thousands):</w:t>
      </w:r>
    </w:p>
    <w:tbl>
      <w:tblPr>
        <w:tblW w:w="9777" w:type="dxa"/>
        <w:jc w:val="left"/>
        <w:tblInd w:w="0" w:type="dxa"/>
        <w:tblLayout w:type="fixed"/>
        <w:tblCellMar>
          <w:top w:w="28" w:type="dxa"/>
          <w:left w:w="28" w:type="dxa"/>
          <w:bottom w:w="28" w:type="dxa"/>
          <w:right w:w="28" w:type="dxa"/>
        </w:tblCellMar>
      </w:tblPr>
      <w:tblGrid>
        <w:gridCol w:w="4276"/>
        <w:gridCol w:w="236"/>
        <w:gridCol w:w="798"/>
        <w:gridCol w:w="200"/>
        <w:gridCol w:w="176"/>
        <w:gridCol w:w="236"/>
        <w:gridCol w:w="798"/>
        <w:gridCol w:w="166"/>
        <w:gridCol w:w="146"/>
        <w:gridCol w:w="207"/>
        <w:gridCol w:w="793"/>
        <w:gridCol w:w="175"/>
        <w:gridCol w:w="154"/>
        <w:gridCol w:w="207"/>
        <w:gridCol w:w="698"/>
        <w:gridCol w:w="511"/>
      </w:tblGrid>
      <w:tr>
        <w:trPr/>
        <w:tc>
          <w:tcPr>
            <w:tcW w:w="42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Brokered natural gas, NGLs and marketing</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natural gas sales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106,735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82,836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NGLs sales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marketing revenue</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natural gas purchases and transportation</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(54,765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(107,545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(85,827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Brokered NGLs purchases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marketing expense</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Brokered natural gas, NGLs and marketing net margin</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Exploration</w:t>
      </w:r>
      <w:r>
        <w:rPr>
          <w:rFonts w:ascii="Times New Roman" w:hAnsi="Times New Roman"/>
          <w:color w:val="000000"/>
          <w:sz w:val="20"/>
        </w:rPr>
        <w:t xml:space="preserve"> expense was $6.5 million in second quarter 2026 compared to $7.9 million in second quarter 2025 primarily due to lower delay rentals. Exploration expense was $12.5 million in first six months 2026 compared to $14.3 million in first six months 2025 primarily due to lower delay rentals. The following table details our exploration expense for the three and six months ended June 30, 2026 and 2025 (in thousands): </w:t>
      </w:r>
    </w:p>
    <w:tbl>
      <w:tblPr>
        <w:tblW w:w="10205" w:type="dxa"/>
        <w:jc w:val="left"/>
        <w:tblInd w:w="0" w:type="dxa"/>
        <w:tblLayout w:type="fixed"/>
        <w:tblCellMar>
          <w:top w:w="28" w:type="dxa"/>
          <w:left w:w="28" w:type="dxa"/>
          <w:bottom w:w="28" w:type="dxa"/>
          <w:right w:w="28" w:type="dxa"/>
        </w:tblCellMar>
      </w:tblPr>
      <w:tblGrid>
        <w:gridCol w:w="1832"/>
        <w:gridCol w:w="196"/>
        <w:gridCol w:w="511"/>
        <w:gridCol w:w="146"/>
        <w:gridCol w:w="146"/>
        <w:gridCol w:w="196"/>
        <w:gridCol w:w="511"/>
        <w:gridCol w:w="146"/>
        <w:gridCol w:w="146"/>
        <w:gridCol w:w="196"/>
        <w:gridCol w:w="571"/>
        <w:gridCol w:w="166"/>
        <w:gridCol w:w="146"/>
        <w:gridCol w:w="146"/>
        <w:gridCol w:w="376"/>
        <w:gridCol w:w="277"/>
        <w:gridCol w:w="146"/>
        <w:gridCol w:w="196"/>
        <w:gridCol w:w="601"/>
        <w:gridCol w:w="146"/>
        <w:gridCol w:w="146"/>
        <w:gridCol w:w="196"/>
        <w:gridCol w:w="601"/>
        <w:gridCol w:w="146"/>
        <w:gridCol w:w="146"/>
        <w:gridCol w:w="196"/>
        <w:gridCol w:w="571"/>
        <w:gridCol w:w="166"/>
        <w:gridCol w:w="146"/>
        <w:gridCol w:w="146"/>
        <w:gridCol w:w="346"/>
        <w:gridCol w:w="602"/>
      </w:tblGrid>
      <w:tr>
        <w:trPr/>
        <w:tc>
          <w:tcPr>
            <w:tcW w:w="18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Exploration</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Delay rentals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Seismic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exploration expense</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180"/>
        <w:jc w:val="left"/>
        <w:rPr>
          <w:rFonts w:ascii="Times New Roman" w:hAnsi="Times New Roman"/>
          <w:sz w:val="20"/>
        </w:rPr>
      </w:pPr>
      <w:r>
        <w:rPr>
          <w:rFonts w:ascii="Times New Roman" w:hAnsi="Times New Roman"/>
          <w:b/>
          <w:i/>
          <w:color w:val="000000"/>
          <w:sz w:val="20"/>
        </w:rPr>
        <w:t>Abandonment and impairment of unproved properties</w:t>
      </w:r>
      <w:r>
        <w:rPr>
          <w:rFonts w:ascii="Times New Roman" w:hAnsi="Times New Roman"/>
          <w:color w:val="000000"/>
          <w:sz w:val="20"/>
        </w:rPr>
        <w:t xml:space="preserve"> expense was $4.6 million in second quarter 2026 compared to $6.8 million in second quarter 2025. Abandonment and impairment of unproved properties expense was $8.5 million in first six months 2026 compared to $11.4 million in first six months 2025. Abandonment and impairment of unproved properties for second quarter 2026 and first six months 2026 decreased compared to the same periods of 2025 due to lower than expected lease expirations in Pennsylvania. When we do not intend to drill on a property prior to expiration, we have allowed acreage to expire. We also expect to strategically allow expirations in the future, as we believe certain acreage needed for our future development plans can be efficiently leased again prior to development.</w:t>
      </w:r>
    </w:p>
    <w:p>
      <w:pPr>
        <w:pStyle w:val="TextBody"/>
        <w:bidi w:val="0"/>
        <w:spacing w:before="0" w:after="180"/>
        <w:jc w:val="left"/>
        <w:rPr>
          <w:rFonts w:ascii="Times New Roman" w:hAnsi="Times New Roman"/>
          <w:sz w:val="20"/>
        </w:rPr>
      </w:pPr>
      <w:r>
        <w:rPr>
          <w:rFonts w:ascii="Times New Roman" w:hAnsi="Times New Roman"/>
          <w:b/>
          <w:i/>
          <w:color w:val="000000"/>
          <w:sz w:val="20"/>
        </w:rPr>
        <w:t>Exit costs</w:t>
      </w:r>
      <w:r>
        <w:rPr>
          <w:rFonts w:ascii="Times New Roman" w:hAnsi="Times New Roman"/>
          <w:color w:val="000000"/>
          <w:sz w:val="20"/>
        </w:rPr>
        <w:t xml:space="preserve"> were $9.6 million in second quarter 2026 compared to $8.5 million in second quarter 2025. Exit costs were $16.5 million in first six months 2026 compared to $17.4 million in first six months 2025. These costs are associated with normal accretion expense primarily related to retained liabilities for certain gathering, transportation and processing obligations extending through 2030. There was an additional $2.9 million of exit costs incurred in second quarter 2026 associated with the change in expected throughput volumes associated with this obligation.</w:t>
      </w:r>
    </w:p>
    <w:p>
      <w:pPr>
        <w:pStyle w:val="TextBody"/>
        <w:bidi w:val="0"/>
        <w:spacing w:before="0" w:after="180"/>
        <w:jc w:val="left"/>
        <w:rPr>
          <w:rFonts w:ascii="Times New Roman" w:hAnsi="Times New Roman"/>
          <w:sz w:val="20"/>
        </w:rPr>
      </w:pPr>
      <w:r>
        <w:rPr>
          <w:rFonts w:ascii="Times New Roman" w:hAnsi="Times New Roman"/>
          <w:b/>
          <w:i/>
          <w:color w:val="000000"/>
          <w:sz w:val="20"/>
        </w:rPr>
        <w:t>Deferred compensation plan</w:t>
      </w:r>
      <w:r>
        <w:rPr>
          <w:rFonts w:ascii="Times New Roman" w:hAnsi="Times New Roman"/>
          <w:color w:val="000000"/>
          <w:sz w:val="20"/>
        </w:rPr>
        <w:t xml:space="preserve"> had a gain of $1.8 million in second quarter 2026 compared to a gain of $88,000 in second quarter 2025. Deferred compensation plan expense was $787,000 in first six months 2026 compared to an expense of $2.8 million in first six months 2025. This non-cash item relates to the increase or decrease in value of the liability associated with our common stock that is vested and held in our deferred compensation plan. The deferred compensation liability is adjusted to fair value by a charge or a credit to deferred compensation plan expense based on the number of vested shares in the plan at the time. The change in both periods is related to the change in Range stock price at the end of each period combined with fewer shares being held within the deferred compensation plan. The deferred compensation plan held 199,000 shares (187,000 vested shares) of Range common stock as of June 30, 2026 compared to 265,000 shares (256,000 vested shares) as of June 30, 2025.</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 xml:space="preserve">Income tax expense </w:t>
      </w:r>
      <w:r>
        <w:rPr>
          <w:rFonts w:ascii="Times New Roman" w:hAnsi="Times New Roman"/>
          <w:color w:val="000000"/>
          <w:sz w:val="20"/>
        </w:rPr>
        <w:t>was $53.3 million in second quarter 2026 compared to an expense of $64.5 million in second quarter 2025. Income tax expense was $144.8 million in first six months 2026 compared to an expense of $77.1 million in first six months 2025. The 2026 effective tax rates were not materially different than the federal statutory rate. The 2025 effective tax rates were different than the statutory tax rates due to tax credits, state income taxes and equity compensation.</w:t>
      </w:r>
    </w:p>
    <w:p>
      <w:pPr>
        <w:pStyle w:val="TextBody"/>
        <w:bidi w:val="0"/>
        <w:spacing w:before="0" w:after="180"/>
        <w:jc w:val="left"/>
        <w:rPr>
          <w:rFonts w:ascii="Times New Roman" w:hAnsi="Times New Roman"/>
          <w:sz w:val="20"/>
        </w:rPr>
      </w:pPr>
      <w:r>
        <w:rPr>
          <w:rFonts w:ascii="Times New Roman" w:hAnsi="Times New Roman"/>
          <w:b/>
          <w:color w:val="000000"/>
          <w:sz w:val="20"/>
        </w:rPr>
        <w:t>Management’s Discussion and Analysis of Financial Condition, Capital Resources and Liquidity</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Commodity prices are the most significant factor impacting our revenues, net income, operating cash flows, and the amount of capital we have available to invest in our business, pay dividends and fund share or debt repurchases. Commodity prices have been and are expected to remain volatile. Our top priorities for using cash provided by operations are to fund our capital program, return capital to stockholders and maintain a strong balance sheet while making prudent investments in our business. We currently believe we have sufficient liquidity and capital resources to execute our business plan for the foreseeable future and across a wide range of commodity price scenarios. We continue to manage the duration and level of our drilling and completion commitments in order to maintain flexibility with regard to our activity level and capital expenditures. </w:t>
      </w:r>
    </w:p>
    <w:p>
      <w:pPr>
        <w:pStyle w:val="TextBody"/>
        <w:bidi w:val="0"/>
        <w:spacing w:before="0" w:after="18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presents sources and uses of cash and cash equivalents for the six months ended June 30, 2026 and 2025 (in thousands):</w:t>
      </w:r>
    </w:p>
    <w:tbl>
      <w:tblPr>
        <w:tblW w:w="6718" w:type="dxa"/>
        <w:jc w:val="left"/>
        <w:tblInd w:w="0" w:type="dxa"/>
        <w:tblLayout w:type="fixed"/>
        <w:tblCellMar>
          <w:top w:w="28" w:type="dxa"/>
          <w:left w:w="28" w:type="dxa"/>
          <w:bottom w:w="28" w:type="dxa"/>
          <w:right w:w="28" w:type="dxa"/>
        </w:tblCellMar>
      </w:tblPr>
      <w:tblGrid>
        <w:gridCol w:w="3831"/>
        <w:gridCol w:w="196"/>
        <w:gridCol w:w="886"/>
        <w:gridCol w:w="166"/>
        <w:gridCol w:w="146"/>
        <w:gridCol w:w="196"/>
        <w:gridCol w:w="886"/>
        <w:gridCol w:w="411"/>
      </w:tblGrid>
      <w:tr>
        <w:trPr/>
        <w:tc>
          <w:tcPr>
            <w:tcW w:w="3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Sources of cash and cash equivalents</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666,273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Disposal of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credit facility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sources of cash and cash equivalents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2,605,437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1,148,486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Uses of cash and cash equivalents</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natural gas, NGLs and oil properties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(279,990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credit facility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Acreage purchases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field service assets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senior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uses of cash and cash equivalents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(2,605,394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(1,452,842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180"/>
        <w:jc w:val="left"/>
        <w:rPr/>
      </w:pPr>
      <w:r>
        <w:rPr/>
        <w:t>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Sources of Cash and Cash Equivalents</w:t>
      </w:r>
    </w:p>
    <w:p>
      <w:pPr>
        <w:pStyle w:val="TextBody"/>
        <w:bidi w:val="0"/>
        <w:spacing w:before="0" w:after="180"/>
        <w:jc w:val="left"/>
        <w:rPr>
          <w:rFonts w:ascii="Times New Roman" w:hAnsi="Times New Roman"/>
          <w:sz w:val="20"/>
        </w:rPr>
      </w:pPr>
      <w:r>
        <w:rPr>
          <w:rFonts w:ascii="Times New Roman" w:hAnsi="Times New Roman"/>
          <w:b/>
          <w:i/>
          <w:color w:val="000000"/>
          <w:sz w:val="20"/>
        </w:rPr>
        <w:t>Cash flows provided from operating activities</w:t>
      </w:r>
      <w:r>
        <w:rPr>
          <w:rFonts w:ascii="Times New Roman" w:hAnsi="Times New Roman"/>
          <w:color w:val="000000"/>
          <w:sz w:val="20"/>
        </w:rPr>
        <w:t xml:space="preserve"> in first six months 2026 were $854.2 million compared to $666.3 million in first six months 2025. Cash provided from operating activities is largely dependent upon commodity prices and production volumes, net of the effects of settlement of our derivative contracts. As of June 30, 2026, we have hedged more than 25% of our projected natural gas production for the remainder of 2026. Changes in working capital (as reflected in our consolidated statements of cash flows) for first six months 2026 was a negative $12.0 million compared to a negative $18.0 million for first six months 2025.</w:t>
      </w:r>
    </w:p>
    <w:p>
      <w:pPr>
        <w:pStyle w:val="TextBody"/>
        <w:bidi w:val="0"/>
        <w:spacing w:before="0" w:after="180"/>
        <w:jc w:val="left"/>
        <w:rPr>
          <w:rFonts w:ascii="Times New Roman" w:hAnsi="Times New Roman"/>
          <w:sz w:val="20"/>
        </w:rPr>
      </w:pPr>
      <w:r>
        <w:rPr>
          <w:rFonts w:ascii="Times New Roman" w:hAnsi="Times New Roman"/>
          <w:b/>
          <w:i/>
          <w:color w:val="000000"/>
          <w:sz w:val="20"/>
        </w:rPr>
        <w:t>Borrowings on credit facility</w:t>
      </w:r>
      <w:r>
        <w:rPr>
          <w:rFonts w:ascii="Times New Roman" w:hAnsi="Times New Roman"/>
          <w:color w:val="000000"/>
          <w:sz w:val="20"/>
        </w:rPr>
        <w:t xml:space="preserve"> in first six months 2026 were $1.7 billion, of which $608.3 million was utilized for the early redemption of principal of our 8.25% senior notes due 2029. Borrowings net of repayments on the credit facility for first six months 2026 brought the credit facility balance to $381.0 million as of June 30, 2026.</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Uses of Cash and Cash Equivalents</w:t>
      </w:r>
    </w:p>
    <w:p>
      <w:pPr>
        <w:pStyle w:val="TextBody"/>
        <w:bidi w:val="0"/>
        <w:spacing w:before="0" w:after="180"/>
        <w:jc w:val="left"/>
        <w:rPr>
          <w:rFonts w:ascii="Times New Roman" w:hAnsi="Times New Roman"/>
          <w:sz w:val="20"/>
        </w:rPr>
      </w:pPr>
      <w:r>
        <w:rPr>
          <w:rFonts w:ascii="Times New Roman" w:hAnsi="Times New Roman"/>
          <w:b/>
          <w:i/>
          <w:color w:val="000000"/>
          <w:sz w:val="20"/>
        </w:rPr>
        <w:t>Additions to natural gas, NGLs and oil properties</w:t>
      </w:r>
      <w:r>
        <w:rPr>
          <w:rFonts w:ascii="Times New Roman" w:hAnsi="Times New Roman"/>
          <w:color w:val="000000"/>
          <w:sz w:val="20"/>
        </w:rPr>
        <w:t xml:space="preserve"> for first six months 2026 were consistent with expectations relative to our announced 2026 capital budget.</w:t>
      </w:r>
    </w:p>
    <w:p>
      <w:pPr>
        <w:pStyle w:val="TextBody"/>
        <w:bidi w:val="0"/>
        <w:spacing w:before="0" w:after="180"/>
        <w:jc w:val="left"/>
        <w:rPr>
          <w:rFonts w:ascii="Times New Roman" w:hAnsi="Times New Roman"/>
          <w:sz w:val="20"/>
        </w:rPr>
      </w:pPr>
      <w:r>
        <w:rPr>
          <w:rFonts w:ascii="Times New Roman" w:hAnsi="Times New Roman"/>
          <w:b/>
          <w:i/>
          <w:color w:val="000000"/>
          <w:sz w:val="20"/>
        </w:rPr>
        <w:t>Repayment of senior notes</w:t>
      </w:r>
      <w:r>
        <w:rPr>
          <w:rFonts w:ascii="Times New Roman" w:hAnsi="Times New Roman"/>
          <w:color w:val="000000"/>
          <w:sz w:val="20"/>
        </w:rPr>
        <w:t xml:space="preserve"> for first six months 2026 includes the early redemption of principal of our 8.25% senior notes due 2029 through utilization of borrowings on our credit facility. </w:t>
      </w:r>
    </w:p>
    <w:p>
      <w:pPr>
        <w:pStyle w:val="TextBody"/>
        <w:bidi w:val="0"/>
        <w:spacing w:before="0" w:after="180"/>
        <w:jc w:val="left"/>
        <w:rPr>
          <w:rFonts w:ascii="Times New Roman" w:hAnsi="Times New Roman"/>
          <w:sz w:val="20"/>
        </w:rPr>
      </w:pPr>
      <w:r>
        <w:rPr>
          <w:rFonts w:ascii="Times New Roman" w:hAnsi="Times New Roman"/>
          <w:b/>
          <w:i/>
          <w:color w:val="000000"/>
          <w:sz w:val="20"/>
        </w:rPr>
        <w:t>Treasury stock purchases</w:t>
      </w:r>
      <w:r>
        <w:rPr>
          <w:rFonts w:ascii="Times New Roman" w:hAnsi="Times New Roman"/>
          <w:color w:val="000000"/>
          <w:sz w:val="20"/>
        </w:rPr>
        <w:t xml:space="preserve"> for first six months 2026 include the repurchase and settlement of 2.8 million shares for a total of $105.5 million (excluding cost of 1% excise tax) as part of our previously announced stock repurchase program.</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main sources of liquidity are cash on hand, internally generated cash flow from operations, our bank credit facility and capital market transactions. As of June 30, 2026, we had approximately $1.5 billion of liquidity consisting of $247,000 of cash on hand and $1.5 billion available under our bank credit facility. Our borrowing base can be adjusted as a result of changes in commodity prices, acquisitions or divestitures of proved properties or financing activities. We may draw on our bank credit facility to meet short-term cash requirements.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expect our 2026 capital program to be funded by cash flows from operations. During the six months ended June 30, 2026, we generated $854.2 million of cash flows from operating activities. </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Bank Credit Facility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bank credit facility is secured by substantially all of our assets. As of June 30, 2026, we had a balance of $381.0 million on our credit facility and we maintained a borrowing base of $3.0 billion and aggregate lender commitments of $2.0 billion. We had undrawn letters of credit of $165.1 million as of June 30, 2026, which reduced our borrowing capacity under our bank credit facility.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borrowing base is subject to regular, annual re-determinations and is dependent on a number of factors but primarily the lenders' assessment of our future cash flows. On October 2, 2025, we entered into an amended and restated revolving bank credit facility, which continues to be secured by substantially all of our assets and has a maturity date of October 2, 2030. The amended credit facility maintains a maximum facility amount of $4.0 billion and an initial borrowing base of $3.0 billion, and increased bank commitments from $1.5 billion to $2.0 billion.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currently must comply with certain financial and non-financial covenants, including limiting dividend payments, debt incurrence and requirements that we maintain certain financial ratios (as defined in our bank credit facility agreement). We were in compliance with all such covenants as of June 30, 2026.</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Capital Requirements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use cash for the development, exploration and acquisition of natural gas properties and for the payment of gathering, transportation and processing costs, operating, general and administrative costs, taxes and debt obligations, including interest, dividends and share repurchases. Expenditures for the development, exploration and acquisition of natural gas properties are the primary use of our capital resources. During first six months 2026, we used operating cash flows to fund $354.8 million of capital expenditures as reported in our consolidated statement of cash flows within investing activities. The amount of our future capital expenditures will depend upon a number of factors including our cash flows from operating, investing and financing activities, infrastructure availability, supply and demand fundamentals and our ability to execute our development program. In addition, the impact of commodity prices on investment opportunities, the availability of capital and the timing and results of our development activities may lead to changes in funding requirements for future development. We periodically review our budget to assess changes in current and projected cash flows, debt requirements and other factors.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may from time to time repurchase or redeem all or portions of our outstanding debt securities for cash, through exchanges for other securities or a combination of both. Such repurchases or redemptions may be made in open market transactions and will depend on prevailing market conditions, our liquidity requirements, contractual restrictions and other factors. The amounts involved may be material.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Dividend Payments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On May 29, 2026, our Board of Directors announced the approval of a dividend of $0.10 per share payable on June 26, 2026, to stockholders of record at the close of business on June 12, 2026. The determination of the amount of future dividends, if any, to be declared and paid is at the sole discretion of the Board of Directors and primarily depends on cash flow, capital expenditures, debt covenants and various other factors.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Stock Repurchase Program</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February 2026, our Board of Directors approved an increase to our existing stock repurchase program to an aggregate $1.5 billion. Our total remaining share repurchase authorization was approximately $1.4 billion as of June 30, 2026.</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Other Sources of Liquidity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 universal shelf registration statement filed with the SEC under which we, as a well-known seasoned issuer for purposes of SEC rules, have the future ability to sell an indeterminate amount of various types of debt and equity securities.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r>
        <w:rPr>
          <w:rFonts w:ascii="Times New Roman" w:hAnsi="Times New Roman"/>
          <w:b/>
          <w:i/>
          <w:color w:val="000000"/>
          <w:sz w:val="20"/>
        </w:rPr>
        <w:t>Cash Contractual Obligations</w:t>
      </w:r>
      <w:r>
        <w:rPr>
          <w:rFonts w:ascii="Times New Roman" w:hAnsi="Times New Roman"/>
          <w:color w:val="000000"/>
          <w:sz w:val="20"/>
        </w:rPr>
        <w:t xml:space="preserve"> </w:t>
      </w:r>
    </w:p>
    <w:p>
      <w:pPr>
        <w:pStyle w:val="TextBody"/>
        <w:bidi w:val="0"/>
        <w:spacing w:before="0" w:after="180"/>
        <w:jc w:val="left"/>
        <w:rPr/>
      </w:pPr>
      <w:r>
        <w:rPr>
          <w:rFonts w:ascii="Times New Roman" w:hAnsi="Times New Roman"/>
          <w:color w:val="000000"/>
          <w:sz w:val="20"/>
        </w:rPr>
        <w:t xml:space="preserve">Our contractual obligations include long-term debt, operating leases, derivative obligations, asset retirement obligations and transportation, processing and gathering commitments including the divestiture contractual commitment that we incurred in conjunction with the sale of our North Louisiana assets. See </w:t>
      </w:r>
      <w:hyperlink w:anchor="note_13">
        <w:r>
          <w:rPr>
            <w:rStyle w:val="InternetLink"/>
            <w:rFonts w:ascii="Times New Roman" w:hAnsi="Times New Roman"/>
            <w:color w:val="0000FF"/>
            <w:sz w:val="20"/>
            <w:u w:val="single"/>
          </w:rPr>
          <w:t>Note 13</w:t>
        </w:r>
      </w:hyperlink>
      <w:r>
        <w:rPr>
          <w:rFonts w:ascii="Times New Roman" w:hAnsi="Times New Roman"/>
          <w:color w:val="000000"/>
          <w:sz w:val="20"/>
        </w:rPr>
        <w:t xml:space="preserve"> to our unaudited consolidated financial statements entitled "Commitments and Contingencies" for more information on commitments.</w:t>
      </w:r>
    </w:p>
    <w:p>
      <w:pPr>
        <w:pStyle w:val="TextBody"/>
        <w:bidi w:val="0"/>
        <w:spacing w:before="0" w:after="180"/>
        <w:jc w:val="left"/>
        <w:rPr>
          <w:rFonts w:ascii="Times New Roman" w:hAnsi="Times New Roman"/>
          <w:sz w:val="20"/>
        </w:rPr>
      </w:pPr>
      <w:r>
        <w:rPr>
          <w:rFonts w:ascii="Times New Roman" w:hAnsi="Times New Roman"/>
          <w:b/>
          <w:color w:val="000000"/>
          <w:sz w:val="20"/>
        </w:rPr>
        <w:t>Interest Rates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of June 30, 2026, we had approximately $500 million of senior notes which bore a fixed interest rate of 4.75%. Bank debt totaling $381.0 million bears interest at a floating rate, which was 5.4% as of June 30, 2026.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do not currently utilize any significant off-balance sheet arrangements with unconsolidated entities to enhance our liquidity or capital resource position, or for any other purpose. However, as is customary in the oil and gas industry, we have various contractual work commitments, some of which are described above under </w:t>
      </w:r>
      <w:r>
        <w:rPr>
          <w:rFonts w:ascii="Times New Roman" w:hAnsi="Times New Roman"/>
          <w:i/>
          <w:color w:val="000000"/>
          <w:sz w:val="20"/>
        </w:rPr>
        <w:t>Cash Contractual Obligations.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Changes in Prices and Costs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revenues, the value of our assets and our ability to obtain bank loans or additional capital on attractive terms have been and will continue to be affected by changes in natural gas, NGLs and oil prices and the costs to produce our reserves. Natural gas, NGLs and oil prices are subject to significant fluctuations that are beyond our ability to control or predict. Certain of our costs and expenses are affected by general inflation and tariffs. We expect costs for the remainder of 2026 to continue to be a function of supply and demand.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Certain sections of Management’s Discussion and Analysis of Financial Condition and Results of Operations include forward-looking statements concerning trends or events potentially affecting our business. These statements typically contain words such as "anticipates," "believes," "expects," "targets," "plans," "estimates," "predicts," "may," "should," "would" or similar words indicating that future outcomes are uncertain. In accordance with "safe harbor" provisions of the Private Securities Litigation Reform Act of 1995, these statements are accompanied by cautionary language identifying important factors, though not necessarily all such factors, which could cause future outcomes to differ materially from those set forth in the forward-looking statements. These forward-looking statements are based on our current expectations and beliefs concerning future developments and their potential effect on us. While management believes that these forward-looking statements are reasonable when made, there can be no assurance that future developments affecting us will be those that we anticipate. All comments concerning our expectations for future revenues and operating results are based on our current forecasts for our existing operations and do not include the potential impact of any future events. We undertake no obligation to publicly update or revise any forward-looking statements after the date they are made, whether as a result of new information, future events or otherwise. For additional risk factors affecting our business, see </w:t>
      </w:r>
      <w:r>
        <w:rPr>
          <w:rFonts w:ascii="Times New Roman" w:hAnsi="Times New Roman"/>
          <w:i/>
          <w:color w:val="000000"/>
          <w:sz w:val="20"/>
        </w:rPr>
        <w:t>Item 1A. Risk Factors</w:t>
      </w:r>
      <w:r>
        <w:rPr>
          <w:rFonts w:ascii="Times New Roman" w:hAnsi="Times New Roman"/>
          <w:color w:val="000000"/>
          <w:sz w:val="20"/>
        </w:rPr>
        <w:t xml:space="preserve"> as set forth in our Annual Report on Form 10-K for the year ended December 31, 2025, as filed with the SEC on February 24, 2026.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28" w:name="item_3_quantitative_qualitative"/>
      <w:bookmarkEnd w:id="28"/>
      <w:r>
        <w:rPr>
          <w:rFonts w:ascii="Times New Roman" w:hAnsi="Times New Roman"/>
          <w:b/>
          <w:color w:val="000000"/>
          <w:sz w:val="20"/>
        </w:rPr>
        <w:t>ITEM 3. QUANTITATIVE AND QUALITATI</w:t>
      </w:r>
      <w:bookmarkStart w:id="29" w:name="item_3_quantitative_qualitative_disclosu"/>
      <w:bookmarkEnd w:id="29"/>
      <w:r>
        <w:rPr>
          <w:rFonts w:ascii="Times New Roman" w:hAnsi="Times New Roman"/>
          <w:b/>
          <w:color w:val="000000"/>
          <w:sz w:val="20"/>
        </w:rPr>
        <w:t>VE DISCLOSURES ABOUT MARKET RISK</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The primary objective of the following information is to provide forward-looking quantitative and qualitative information about our potential exposure to market risks. The term "market risk" refers to the risk of loss arising from adverse changes in natural gas, NGLs and oil prices and interest rates. The disclosures are not meant to be precise indicators of expected future losses, but rather indicators of reasonably possible losses. This forward-looking information provides indicators of how we view and manage our ongoing market-risk exposure. All of our market-risk sensitive instruments were entered into for purposes other than trading. All accounts are U.S. dollar denominated. These risks have not materially changed and should be read in conjunction with </w:t>
      </w:r>
      <w:r>
        <w:rPr>
          <w:rFonts w:ascii="Times New Roman" w:hAnsi="Times New Roman"/>
          <w:i/>
          <w:color w:val="000000"/>
          <w:sz w:val="20"/>
        </w:rPr>
        <w:t>Item 7A</w:t>
      </w:r>
      <w:r>
        <w:rPr>
          <w:rFonts w:ascii="Times New Roman" w:hAnsi="Times New Roman"/>
          <w:color w:val="000000"/>
          <w:sz w:val="20"/>
        </w:rPr>
        <w:t xml:space="preserve">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as presented in the Form 10-K.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Market Risk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exposed to market risks related to natural gas, NGLs and oil prices, which are difficult to predict. We employ various strategies, including the use of commodity derivative instruments, to manage the risks related to these price fluctuations. These derivative instruments apply to a varying portion of our production and provide partial price protection. These arrangements can limit the benefit to us of increases in prices but offer protection in the event of price declines. Further, if our counterparties defaulted, this protection might be limited as we might not receive the benefits of the derivatives. Realized prices are influenced by the complex dynamics of supply and demand that exist in the global energy markets. Changes in natural gas prices affect us more than changes in oil prices because approximately 64% of our December 31, 2025 proved reserves are natural gas and 1% of proved reserves are oil. In addition, a portion of our NGLs, which are 35% of proved reserves, are also impacted by changes in oil and natural gas prices. At times, we are also exposed to market risks related to changes in interest rates. These risks did not change materially from December 31, 2025 to June 30,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NGLs prices are somewhat seasonal, particularly for propane. Therefore, the relationship of NGLs prices to NYMEX WTI (or West Texas Intermediate) will vary due to product components, seasonality and geographic supply and demand. We sell NGLs in several regional U.S. markets, some of which are exported to international markets by other parties. If we are not able to sell or store NGLs or we are unable to access NGLs infrastructure, we may be required to curtail production or shift our drilling activities to dry gas areas.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0" w:after="180"/>
        <w:jc w:val="left"/>
        <w:rPr/>
      </w:pPr>
      <w:r>
        <w:rPr>
          <w:rFonts w:ascii="Times New Roman" w:hAnsi="Times New Roman"/>
          <w:color w:val="000000"/>
          <w:sz w:val="20"/>
        </w:rPr>
        <w:t xml:space="preserve">We use commodity-based derivative contracts to manage exposures to commodity price fluctuations. We do not enter into these arrangements for speculative or trading purposes. At times, certain of our derivatives are swaps where we receive a fixed price (or a fixed percentage of a price) for our production and pay market prices to the counterparty. Our derivatives program can also include collars, which establish a minimum floor price and a predetermined ceiling price. Our program may also include a three-way collar which is a combination of three options. We have also entered into natural gas derivative instruments containing a fixed price swap and a sold option (which we refer to as a swaption). As of June 30, 2026, our derivative program includes swaps, collars, three-way collars and swaptions. The fair value of these contracts, represented by the estimated amount that would be realized upon immediate liquidation based on a comparison of the contract price and a reference price, generally NYMEX for natural gas and oil or Mont Belvieu for NGLs, was an asset of $130.6 million as of June 30, 2026. These contracts expire monthly through December 2028. For additional information on our derivative contracts, see </w:t>
      </w:r>
      <w:hyperlink w:anchor="note_7">
        <w:r>
          <w:rPr>
            <w:rStyle w:val="InternetLink"/>
            <w:rFonts w:ascii="Times New Roman" w:hAnsi="Times New Roman"/>
            <w:color w:val="0000FF"/>
            <w:sz w:val="20"/>
            <w:u w:val="single"/>
          </w:rPr>
          <w:t>Note 7</w:t>
        </w:r>
      </w:hyperlink>
      <w:r>
        <w:rPr>
          <w:rFonts w:ascii="Times New Roman" w:hAnsi="Times New Roman"/>
          <w:color w:val="000000"/>
          <w:sz w:val="20"/>
        </w:rPr>
        <w:t xml:space="preserve"> to the accompanying consolidated financial statements. </w:t>
      </w:r>
    </w:p>
    <w:p>
      <w:pPr>
        <w:pStyle w:val="TextBody"/>
        <w:bidi w:val="0"/>
        <w:spacing w:before="0" w:after="180"/>
        <w:jc w:val="left"/>
        <w:rPr>
          <w:rFonts w:ascii="Times New Roman" w:hAnsi="Times New Roman"/>
          <w:sz w:val="20"/>
        </w:rPr>
      </w:pPr>
      <w:r>
        <w:rPr>
          <w:rFonts w:ascii="Times New Roman" w:hAnsi="Times New Roman"/>
          <w:b/>
          <w:color w:val="000000"/>
          <w:sz w:val="20"/>
        </w:rPr>
        <w:t>Other Commodity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are impacted by basis risk, caused by factors that affect the relationship between commodity futures prices reflected in derivative commodity instruments and the cash market price of the underlying commodity. Natural gas transaction prices are frequently based on industry reference prices that may vary from prices experienced in local markets. If commodity price changes in one region are not reflected in other regions, derivative commodity instruments may no longer provide the expected hedge, resulting in increased basis risk. Therefore, in addition to the swaps, collars, three-way collars and swaptions discussed above, we have entered into natural gas basis swap agreements. The price we receive for our gas production can be more or less than the NYMEX Henry Hub price because of basis adjustments, relative quality and other factors. Basis swap agreements effectively fix the basis adjustments. The fair value of the natural gas basis swaps was a liability of $10.6 million as of June 30, 2026, and they settle through December 2030.</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Commodity Sensitivity Analysis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shows the fair value of our derivatives and the hypothetical changes in fair value that would result from a 10% and a 25% change in commodity prices as of June 30, 2026. We remain at risk for possible changes in the market value of commodity derivative instruments; however, such risks should be mitigated by price changes in the underlying physical commodity (in thousands):</w:t>
      </w:r>
    </w:p>
    <w:tbl>
      <w:tblPr>
        <w:tblW w:w="7845" w:type="dxa"/>
        <w:jc w:val="left"/>
        <w:tblInd w:w="0" w:type="dxa"/>
        <w:tblLayout w:type="fixed"/>
        <w:tblCellMar>
          <w:top w:w="28" w:type="dxa"/>
          <w:left w:w="28" w:type="dxa"/>
          <w:bottom w:w="28" w:type="dxa"/>
          <w:right w:w="28" w:type="dxa"/>
        </w:tblCellMar>
      </w:tblPr>
      <w:tblGrid>
        <w:gridCol w:w="1561"/>
        <w:gridCol w:w="211"/>
        <w:gridCol w:w="736"/>
        <w:gridCol w:w="166"/>
        <w:gridCol w:w="146"/>
        <w:gridCol w:w="211"/>
        <w:gridCol w:w="736"/>
        <w:gridCol w:w="166"/>
        <w:gridCol w:w="146"/>
        <w:gridCol w:w="211"/>
        <w:gridCol w:w="841"/>
        <w:gridCol w:w="166"/>
        <w:gridCol w:w="146"/>
        <w:gridCol w:w="211"/>
        <w:gridCol w:w="676"/>
        <w:gridCol w:w="166"/>
        <w:gridCol w:w="146"/>
        <w:gridCol w:w="211"/>
        <w:gridCol w:w="781"/>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Hypothetical Change in 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Increase in Commodity</w:t>
              <w:br/>
              <w:t>Price of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Decrease in Commodity</w:t>
              <w:br/>
              <w:t>Price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Three-way collars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Basis swaps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80"/>
        <w:jc w:val="left"/>
        <w:rPr>
          <w:rFonts w:ascii="Times New Roman" w:hAnsi="Times New Roman"/>
          <w:color w:val="000000"/>
          <w:sz w:val="20"/>
        </w:rPr>
      </w:pPr>
      <w:r>
        <w:rPr>
          <w:rFonts w:ascii="Times New Roman" w:hAnsi="Times New Roman"/>
          <w:color w:val="000000"/>
          <w:sz w:val="20"/>
        </w:rPr>
        <w:t xml:space="preserve">Our commodity-based derivative contracts expose us to the credit risk of non-performance by the counterparty to the contracts. Our exposure is diversified primarily among major investment grade financial institutions and we have master netting agreements with our counterparties that provide for offsetting payables against receivables from separate derivative contracts. Our derivative contracts are with multiple counterparties to minimize our exposure to any individual counterparty. As of June 30, 2026, our derivative counterparties included sixteen financial institutions, of which eleven were secured lenders in our bank credit facility. Counterparty credit risk is considered when determining the fair value of our derivative contracts. While our counterparties are primarily major investment grade financial institutions, the fair value of our derivative contracts has been adjusted to account for the risk of non-performance by certain of our counterparties, which was immaterial. </w:t>
      </w:r>
    </w:p>
    <w:p>
      <w:pPr>
        <w:pStyle w:val="TextBody"/>
        <w:bidi w:val="0"/>
        <w:spacing w:before="0" w:after="180"/>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of June 30, 2026, we had total debt of approximately $881.0 million, of which $500 million, or approximately 57%, were senior notes based on fixed interest rates and the remainder was based on variable interest rates. Our bank credit facility which provides for variable interest rate borrowings had a balance of $381.0 million as of June 30, 2026 and incurred interest at a rate of 5.4% as of June 30, 2026. The 30-day SOFR rate as of June 30, 2026 was approximately 3.65%. A 1% increase in short-term interest rates on the floating-rate debt outstanding on June 30, 2026 would result in approximately $3.8 million in additional annual interest expense. </w:t>
      </w:r>
    </w:p>
    <w:p>
      <w:pPr>
        <w:pStyle w:val="TextBody"/>
        <w:bidi w:val="0"/>
        <w:spacing w:before="0" w:after="180"/>
        <w:jc w:val="left"/>
        <w:rPr>
          <w:rFonts w:ascii="Times New Roman" w:hAnsi="Times New Roman"/>
          <w:sz w:val="20"/>
        </w:rPr>
      </w:pPr>
      <w:bookmarkStart w:id="30" w:name="item4_controls_and_procedures"/>
      <w:bookmarkEnd w:id="30"/>
      <w:r>
        <w:rPr>
          <w:rFonts w:ascii="Times New Roman" w:hAnsi="Times New Roman"/>
          <w:b/>
          <w:color w:val="000000"/>
          <w:sz w:val="20"/>
        </w:rPr>
        <w:t>ITEM 4. CONTROLS A</w:t>
      </w:r>
      <w:bookmarkStart w:id="31" w:name="item_4"/>
      <w:bookmarkEnd w:id="31"/>
      <w:r>
        <w:rPr>
          <w:rFonts w:ascii="Times New Roman" w:hAnsi="Times New Roman"/>
          <w:b/>
          <w:color w:val="000000"/>
          <w:sz w:val="20"/>
        </w:rPr>
        <w:t>ND PROCEDURES</w:t>
      </w:r>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required by Rule 13a-15(b) of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Quarterly Report on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have concluded that our disclosure controls and procedures were effective as of June 30, 2026 at the reasonable assurance level. </w:t>
      </w:r>
    </w:p>
    <w:p>
      <w:pPr>
        <w:pStyle w:val="TextBody"/>
        <w:bidi w:val="0"/>
        <w:spacing w:before="0" w:after="18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There was no change in our system of internal control over financial reporting (as defined in Rule 13a-15(f) under the Exchange Act) during the three months ended June 30, 2026 that has materially affected, or is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sz w:val="20"/>
        </w:rPr>
      </w:pPr>
      <w:bookmarkStart w:id="32" w:name="part_ii"/>
      <w:bookmarkEnd w:id="3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bookmarkStart w:id="33" w:name="item_1_legal_proceedings"/>
      <w:bookmarkEnd w:id="3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80"/>
        <w:jc w:val="left"/>
        <w:rPr/>
      </w:pPr>
      <w:r>
        <w:rPr>
          <w:rFonts w:ascii="Times New Roman" w:hAnsi="Times New Roman"/>
          <w:color w:val="000000"/>
          <w:sz w:val="20"/>
        </w:rPr>
        <w:t xml:space="preserve">See </w:t>
      </w:r>
      <w:hyperlink w:anchor="note_13">
        <w:r>
          <w:rPr>
            <w:rStyle w:val="InternetLink"/>
            <w:rFonts w:ascii="Times New Roman" w:hAnsi="Times New Roman"/>
            <w:color w:val="0000FF"/>
            <w:sz w:val="20"/>
            <w:u w:val="single"/>
          </w:rPr>
          <w:t>Note 13</w:t>
        </w:r>
      </w:hyperlink>
      <w:hyperlink w:anchor="note_13">
        <w:r>
          <w:rPr>
            <w:rStyle w:val="InternetLink"/>
            <w:rFonts w:ascii="Times New Roman" w:hAnsi="Times New Roman"/>
            <w:color w:val="0000FF"/>
            <w:sz w:val="20"/>
          </w:rPr>
          <w:t xml:space="preserve"> </w:t>
        </w:r>
      </w:hyperlink>
      <w:r>
        <w:rPr>
          <w:rFonts w:ascii="Times New Roman" w:hAnsi="Times New Roman"/>
          <w:color w:val="000000"/>
          <w:sz w:val="20"/>
        </w:rPr>
        <w:t xml:space="preserve">to our unaudited consolidated financial statements entitled "Commitments and Contingencies" included in Part I Item 1 above for a summary of our legal proceedings, such information being incorporated herein by reference.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Environmental Proceedings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From time to time, we receive notices of violation from governmental and regulatory authorities in areas in which we operate relating to alleged violations of environmental statutes or the rules and regulations promulgated thereunder. While we cannot predict with certainty whether these notices of violation will result in fines and/or penalties, if fines and/or penalties are imposed, they may result in monetary sanctions, individually or in the aggregate, in excess of $250,000.</w:t>
      </w:r>
    </w:p>
    <w:p>
      <w:pPr>
        <w:pStyle w:val="TextBody"/>
        <w:bidi w:val="0"/>
        <w:spacing w:before="0" w:after="180"/>
        <w:jc w:val="left"/>
        <w:rPr>
          <w:rFonts w:ascii="Times New Roman" w:hAnsi="Times New Roman"/>
          <w:sz w:val="20"/>
        </w:rPr>
      </w:pPr>
      <w:bookmarkStart w:id="34" w:name="item1a_risk_factors"/>
      <w:bookmarkEnd w:id="3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0" w:after="180"/>
        <w:jc w:val="left"/>
        <w:rPr>
          <w:rFonts w:ascii="Times New Roman" w:hAnsi="Times New Roman"/>
          <w:sz w:val="20"/>
        </w:rPr>
      </w:pPr>
      <w:r>
        <w:rPr>
          <w:rFonts w:ascii="Times New Roman" w:hAnsi="Times New Roman"/>
          <w:color w:val="000000"/>
          <w:sz w:val="20"/>
        </w:rPr>
        <w:t xml:space="preserve">We are subject to various risks and uncertainties in the course of our business. In addition to the factors discussed elsewhere in this report, you should carefully consider the risks and uncertainties described under </w:t>
      </w:r>
      <w:r>
        <w:rPr>
          <w:rFonts w:ascii="Times New Roman" w:hAnsi="Times New Roman"/>
          <w:i/>
          <w:color w:val="000000"/>
          <w:sz w:val="20"/>
        </w:rPr>
        <w:t>Item 1A. Risk Factors</w:t>
      </w:r>
      <w:r>
        <w:rPr>
          <w:rFonts w:ascii="Times New Roman" w:hAnsi="Times New Roman"/>
          <w:color w:val="000000"/>
          <w:sz w:val="20"/>
        </w:rPr>
        <w:t xml:space="preserve"> filed in our Annual Report on Form 10-K for the year ended December 31, 2025. </w:t>
      </w:r>
    </w:p>
    <w:p>
      <w:pPr>
        <w:pStyle w:val="TextBody"/>
        <w:bidi w:val="0"/>
        <w:spacing w:before="0" w:after="180"/>
        <w:jc w:val="left"/>
        <w:rPr>
          <w:rFonts w:ascii="Times New Roman" w:hAnsi="Times New Roman"/>
          <w:b/>
          <w:color w:val="000000"/>
          <w:sz w:val="20"/>
        </w:rPr>
      </w:pPr>
      <w:bookmarkStart w:id="35" w:name="item_2_unregistered_sales_of_equity"/>
      <w:bookmarkEnd w:id="35"/>
      <w:r>
        <w:rPr>
          <w:rFonts w:ascii="Times New Roman" w:hAnsi="Times New Roman"/>
          <w:b/>
          <w:color w:val="000000"/>
          <w:sz w:val="20"/>
        </w:rPr>
        <w:t>ITEM 2. UNREGISTERED SALES OF EQUITY SECURITIES AND USE OF PROCEEDS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2019, our board of directors authorized a common stock repurchase program. In February 2026, our Board of Directors increased the authorization under the program to $1.5 billion available. Shares repurchased as of June 30, 2026 are held as treasury stock and we have approximately $1.4 billion of remaining authorization under the program. These repurchases are based on trade date, although certain purchases may not have settled until the following month.</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Purchases of our common stock during second quarter 2026 are as follows: </w:t>
      </w:r>
    </w:p>
    <w:tbl>
      <w:tblPr>
        <w:tblW w:w="9449" w:type="dxa"/>
        <w:jc w:val="left"/>
        <w:tblInd w:w="0" w:type="dxa"/>
        <w:tblLayout w:type="fixed"/>
        <w:tblCellMar>
          <w:top w:w="28" w:type="dxa"/>
          <w:left w:w="28" w:type="dxa"/>
          <w:bottom w:w="28" w:type="dxa"/>
          <w:right w:w="28" w:type="dxa"/>
        </w:tblCellMar>
      </w:tblPr>
      <w:tblGrid>
        <w:gridCol w:w="901"/>
        <w:gridCol w:w="146"/>
        <w:gridCol w:w="187"/>
        <w:gridCol w:w="1058"/>
        <w:gridCol w:w="146"/>
        <w:gridCol w:w="146"/>
        <w:gridCol w:w="399"/>
        <w:gridCol w:w="1041"/>
        <w:gridCol w:w="146"/>
        <w:gridCol w:w="146"/>
        <w:gridCol w:w="468"/>
        <w:gridCol w:w="2652"/>
        <w:gridCol w:w="146"/>
        <w:gridCol w:w="146"/>
        <w:gridCol w:w="224"/>
        <w:gridCol w:w="130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Number </w:t>
              <w:br/>
              <w:t xml:space="preserve">of Shares </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Price </w:t>
              <w:br/>
              <w:t xml:space="preserve">Paid Per Share </w:t>
            </w:r>
            <w:r>
              <w:rPr>
                <w:rFonts w:ascii="Times New Roman" w:hAnsi="Times New Roman"/>
                <w:b/>
                <w:color w:val="000000"/>
                <w:sz w:val="12"/>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Number </w:t>
              <w:br/>
              <w:t>of Shares Purchased as Part of Publicly</w:t>
              <w:br/>
              <w:t xml:space="preserve">Announced Plans </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Approximate</w:t>
              <w:br/>
              <w:t>Dollar Amount</w:t>
              <w:br/>
              <w:t>of Shares that</w:t>
              <w:br/>
              <w:t>May Yet Be</w:t>
              <w:br/>
              <w:t>Purchased Under</w:t>
              <w:br/>
              <w:t>Plans 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1,461,630,332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1,421,648,789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any customary fees and commissions associated with the share repurchases, but excludes 1% excise tax.</w:t>
      </w:r>
    </w:p>
    <w:p>
      <w:pPr>
        <w:pStyle w:val="TextBody"/>
        <w:bidi w:val="0"/>
        <w:spacing w:before="360" w:after="180"/>
        <w:jc w:val="left"/>
        <w:rPr>
          <w:rFonts w:ascii="Times New Roman" w:hAnsi="Times New Roman"/>
          <w:b/>
          <w:color w:val="000000"/>
          <w:sz w:val="20"/>
        </w:rPr>
      </w:pPr>
      <w:bookmarkStart w:id="36" w:name="item_5_other_information"/>
      <w:bookmarkEnd w:id="36"/>
      <w:r>
        <w:rPr>
          <w:rFonts w:ascii="Times New Roman" w:hAnsi="Times New Roman"/>
          <w:b/>
          <w:color w:val="000000"/>
          <w:sz w:val="20"/>
        </w:rPr>
        <w:t>ITEM 5. OTHER INFORMATION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During second quarter 2026, no director or officer adopted, modified or terminated a "Rule 10b5-1 trading arrangement" or "non-Rule 10b5-1 trading arrangement" as such terms are defined in Item 408 of Regulation S-K.</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bookmarkStart w:id="37" w:name="item6_exhibits"/>
      <w:bookmarkEnd w:id="37"/>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9"/>
        <w:gridCol w:w="146"/>
        <w:gridCol w:w="4194"/>
        <w:gridCol w:w="146"/>
        <w:gridCol w:w="586"/>
        <w:gridCol w:w="146"/>
        <w:gridCol w:w="736"/>
        <w:gridCol w:w="146"/>
        <w:gridCol w:w="1615"/>
        <w:gridCol w:w="1661"/>
      </w:tblGrid>
      <w:tr>
        <w:trPr/>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90"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Incorporated by Reference (File No. 001-12209)</w:t>
            </w:r>
            <w:r>
              <w:rPr>
                <w:rFonts w:ascii="Times New Roman" w:hAnsi="Times New Roman"/>
                <w:color w:val="000000"/>
                <w:sz w:val="20"/>
              </w:rPr>
              <w:t xml:space="preserve"> </w:t>
            </w:r>
          </w:p>
        </w:tc>
      </w:tr>
      <w:tr>
        <w:trPr/>
        <w:tc>
          <w:tcPr>
            <w:tcW w:w="829"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9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15"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6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Restated Certificate of Incorporation of Range Resources 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05/05/2004</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First Amendment to Restated Certificate of Incorporation of Range Resources Corporation</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07/28/2005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Second Amendment to Restated Certificate of Incorporation of Range Resources Corporation</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07/24/2008</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Third Amendment to Restated Certificate of Incorporation of Range Resources 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05/08/2024</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Amended and Restated By-laws of Range Resources Corporation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05/19/2016</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Eighth Amended and Restated Credit Agreement, dated October 2, 2025, among Range Resources Corporation, as borrower, JPMorgan Chase Bank, N.A., as Administrative Agent and Letter of Credit Issuer, and each other Letter of Credit Issuer or Lender from time to time party thereto.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10/02/2025</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w:anchor="rrc-ex31_1.htm">
              <w:r>
                <w:rPr>
                  <w:rStyle w:val="InternetLink"/>
                  <w:rFonts w:ascii="Times New Roman" w:hAnsi="Times New Roman"/>
                  <w:color w:val="0000FF"/>
                  <w:sz w:val="18"/>
                  <w:u w:val="single"/>
                </w:rPr>
                <w:t>Certification of Chief Executive Officer of Range Resources Corporation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w:anchor="rrc-ex31_2.htm">
              <w:r>
                <w:rPr>
                  <w:rStyle w:val="InternetLink"/>
                  <w:rFonts w:ascii="Times New Roman" w:hAnsi="Times New Roman"/>
                  <w:color w:val="0000FF"/>
                  <w:sz w:val="18"/>
                  <w:u w:val="single"/>
                </w:rPr>
                <w:t>Certification of the Chief Financial Officer of Range Resources Corporation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w:anchor="rrc-ex32_1.htm">
              <w:r>
                <w:rPr>
                  <w:rStyle w:val="InternetLink"/>
                  <w:rFonts w:ascii="Times New Roman" w:hAnsi="Times New Roman"/>
                  <w:color w:val="0000FF"/>
                  <w:sz w:val="18"/>
                  <w:u w:val="single"/>
                </w:rPr>
                <w:t>Certification of Chief Executive Officer and President of Range Resources Corporation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hyperlink w:anchor="rrc-ex32_2.htm">
              <w:r>
                <w:rPr>
                  <w:rStyle w:val="InternetLink"/>
                  <w:rFonts w:ascii="Times New Roman" w:hAnsi="Times New Roman"/>
                  <w:color w:val="0000FF"/>
                  <w:sz w:val="18"/>
                  <w:u w:val="single"/>
                </w:rPr>
                <w:t>Certification of Chief Financial Officer of Range Resources Corporation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 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XBRL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 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194"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15"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29"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rFonts w:ascii="Times New Roman" w:hAnsi="Times New Roman"/>
                <w:color w:val="000000"/>
                <w:sz w:val="18"/>
              </w:rPr>
            </w:pPr>
            <w:r>
              <w:rPr>
                <w:rFonts w:ascii="Times New Roman" w:hAnsi="Times New Roman"/>
                <w:color w:val="000000"/>
                <w:sz w:val="18"/>
              </w:rPr>
              <w:t>*</w:t>
            </w:r>
          </w:p>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9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Filed herewith</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Furnished herewith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15" w:type="dxa"/>
            <w:tcBorders/>
            <w:tcMar>
              <w:top w:w="0" w:type="dxa"/>
              <w:left w:w="0" w:type="dxa"/>
              <w:bottom w:w="0" w:type="dxa"/>
              <w:right w:w="0" w:type="dxa"/>
            </w:tcMar>
            <w:vAlign w:val="center"/>
          </w:tcPr>
          <w:p>
            <w:pPr>
              <w:pStyle w:val="TableContents"/>
              <w:bidi w:val="0"/>
              <w:spacing w:before="0" w:after="283"/>
              <w:ind w:left="0" w:right="0" w:firstLine="1469"/>
              <w:jc w:val="center"/>
              <w:rPr/>
            </w:pPr>
            <w:r>
              <w:rPr/>
              <w:t> </w:t>
            </w:r>
          </w:p>
        </w:tc>
        <w:tc>
          <w:tcPr>
            <w:tcW w:w="1661" w:type="dxa"/>
            <w:tcBorders/>
            <w:tcMar>
              <w:top w:w="0" w:type="dxa"/>
              <w:left w:w="0" w:type="dxa"/>
              <w:bottom w:w="0" w:type="dxa"/>
              <w:right w:w="0" w:type="dxa"/>
            </w:tcMar>
            <w:vAlign w:val="center"/>
          </w:tcPr>
          <w:p>
            <w:pPr>
              <w:pStyle w:val="TableContents"/>
              <w:bidi w:val="0"/>
              <w:spacing w:before="0" w:after="283"/>
              <w:ind w:left="0" w:right="0" w:firstLine="1469"/>
              <w:jc w:val="center"/>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signatures"/>
      <w:bookmarkEnd w:id="38"/>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21, 2026</w:t>
      </w:r>
    </w:p>
    <w:p>
      <w:pPr>
        <w:pStyle w:val="TextBody"/>
        <w:bidi w:val="0"/>
        <w:jc w:val="left"/>
        <w:rPr/>
      </w:pPr>
      <w:r>
        <w:rPr/>
        <w:t> </w:t>
      </w:r>
    </w:p>
    <w:tbl>
      <w:tblPr>
        <w:tblW w:w="3405" w:type="dxa"/>
        <w:jc w:val="left"/>
        <w:tblInd w:w="0" w:type="dxa"/>
        <w:tblLayout w:type="fixed"/>
        <w:tblCellMar>
          <w:top w:w="28" w:type="dxa"/>
          <w:left w:w="28" w:type="dxa"/>
          <w:bottom w:w="28" w:type="dxa"/>
          <w:right w:w="28" w:type="dxa"/>
        </w:tblCellMar>
      </w:tblPr>
      <w:tblGrid>
        <w:gridCol w:w="454"/>
        <w:gridCol w:w="117"/>
        <w:gridCol w:w="2834"/>
      </w:tblGrid>
      <w:tr>
        <w:trPr/>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r>
      <w:tr>
        <w:trPr/>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295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S. SCUCCHI</w:t>
            </w:r>
          </w:p>
        </w:tc>
      </w:tr>
      <w:tr>
        <w:trPr/>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S. Scucchi</w:t>
            </w:r>
          </w:p>
        </w:tc>
      </w:tr>
      <w:tr>
        <w:trPr/>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 xml:space="preserve">Executive Vice President and </w:t>
              <w:b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21, 2026</w:t>
      </w:r>
    </w:p>
    <w:p>
      <w:pPr>
        <w:pStyle w:val="TextBody"/>
        <w:bidi w:val="0"/>
        <w:jc w:val="left"/>
        <w:rPr/>
      </w:pPr>
      <w:r>
        <w:rPr/>
        <w:t> </w:t>
      </w:r>
    </w:p>
    <w:tbl>
      <w:tblPr>
        <w:tblW w:w="3404" w:type="dxa"/>
        <w:jc w:val="left"/>
        <w:tblInd w:w="0" w:type="dxa"/>
        <w:tblLayout w:type="fixed"/>
        <w:tblCellMar>
          <w:top w:w="28" w:type="dxa"/>
          <w:left w:w="28" w:type="dxa"/>
          <w:bottom w:w="28" w:type="dxa"/>
          <w:right w:w="28" w:type="dxa"/>
        </w:tblCellMar>
      </w:tblPr>
      <w:tblGrid>
        <w:gridCol w:w="433"/>
        <w:gridCol w:w="112"/>
        <w:gridCol w:w="2859"/>
      </w:tblGrid>
      <w:tr>
        <w:trPr/>
        <w:tc>
          <w:tcPr>
            <w:tcW w:w="4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RESOURCES CORPORATION</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S. KAVANAUGH</w:t>
            </w:r>
          </w:p>
        </w:tc>
      </w:tr>
      <w:tr>
        <w:trPr/>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Ashley S. Kavanaugh</w:t>
            </w:r>
          </w:p>
        </w:tc>
      </w:tr>
      <w:tr>
        <w:trPr/>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i/>
                <w:color w:val="000000"/>
                <w:sz w:val="20"/>
              </w:rPr>
              <w:t>Vice President – Controller and</w:t>
              <w:br/>
              <w:t>Principal Accounting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rrc-ex31_1.htm"/>
      <w:bookmarkStart w:id="40" w:name="ksrrcex31_1"/>
      <w:bookmarkEnd w:id="39"/>
      <w:bookmarkEnd w:id="4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Dennis L. Degner,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Range Resources Corporation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91" w:type="dxa"/>
        <w:jc w:val="left"/>
        <w:tblInd w:w="0" w:type="dxa"/>
        <w:tblLayout w:type="fixed"/>
        <w:tblCellMar>
          <w:top w:w="28" w:type="dxa"/>
          <w:left w:w="28" w:type="dxa"/>
          <w:bottom w:w="28" w:type="dxa"/>
          <w:right w:w="28" w:type="dxa"/>
        </w:tblCellMar>
      </w:tblPr>
      <w:tblGrid>
        <w:gridCol w:w="1711"/>
        <w:gridCol w:w="109"/>
        <w:gridCol w:w="327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DENNIS L. DEGNER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Dennis L. Degner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Chief Executive Officer and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1" w:name="rrc-ex31_2.htm"/>
      <w:bookmarkStart w:id="42" w:name="ksrrcex31_2"/>
      <w:bookmarkEnd w:id="41"/>
      <w:bookmarkEnd w:id="4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S. Scucchi,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Range Resources Corporation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381" w:type="dxa"/>
        <w:jc w:val="left"/>
        <w:tblInd w:w="0" w:type="dxa"/>
        <w:tblLayout w:type="fixed"/>
        <w:tblCellMar>
          <w:top w:w="28" w:type="dxa"/>
          <w:left w:w="28" w:type="dxa"/>
          <w:bottom w:w="28" w:type="dxa"/>
          <w:right w:w="28" w:type="dxa"/>
        </w:tblCellMar>
      </w:tblPr>
      <w:tblGrid>
        <w:gridCol w:w="1711"/>
        <w:gridCol w:w="109"/>
        <w:gridCol w:w="456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Mark S. Scucchi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S. Scucchi</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3" w:name="rrc-ex32_1.htm"/>
      <w:bookmarkStart w:id="44" w:name="ksrrcex32_1"/>
      <w:bookmarkEnd w:id="43"/>
      <w:bookmarkEnd w:id="4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for the period ending June 30, 2026 and filed with the Securities and Exchange Commission on the date hereof (the “Report”) and pursuant to 18 U.S.C. Section 1350, as adopted pursuant to Section 906 of the Sarbanes-Oxley Act of 2002, I, Dennis L. Degner, Chief Executive Officer and President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tbl>
      <w:tblPr>
        <w:tblW w:w="2646" w:type="dxa"/>
        <w:jc w:val="left"/>
        <w:tblInd w:w="0" w:type="dxa"/>
        <w:tblLayout w:type="fixed"/>
        <w:tblCellMar>
          <w:top w:w="28" w:type="dxa"/>
          <w:left w:w="28" w:type="dxa"/>
          <w:bottom w:w="28" w:type="dxa"/>
          <w:right w:w="28" w:type="dxa"/>
        </w:tblCellMar>
      </w:tblPr>
      <w:tblGrid>
        <w:gridCol w:w="421"/>
        <w:gridCol w:w="109"/>
        <w:gridCol w:w="211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L. DEGNER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Dennis L. Degner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21,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rrc-ex32_2.htm"/>
      <w:bookmarkStart w:id="46" w:name="ksrrcex32_2"/>
      <w:bookmarkEnd w:id="45"/>
      <w:bookmarkEnd w:id="4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RANGE RESOURCES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for the period ending June 30, 2026 and filed with the Securities and Exchange Commission on the date hereof (the “Report”) and pursuant to 18 U.S.C. Section 1350, as adopted pursuant to Section 906 of the Sarbanes-Oxley Act of 2002, I, Mark S. Scucchi, Executive Vice President - Chief Financial Officer of Range Resources Corporation (the “Company”), hereby certify that, to my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tbl>
      <w:tblPr>
        <w:tblW w:w="2586" w:type="dxa"/>
        <w:jc w:val="left"/>
        <w:tblInd w:w="0" w:type="dxa"/>
        <w:tblLayout w:type="fixed"/>
        <w:tblCellMar>
          <w:top w:w="28" w:type="dxa"/>
          <w:left w:w="28" w:type="dxa"/>
          <w:bottom w:w="28" w:type="dxa"/>
          <w:right w:w="28" w:type="dxa"/>
        </w:tblCellMar>
      </w:tblPr>
      <w:tblGrid>
        <w:gridCol w:w="421"/>
        <w:gridCol w:w="109"/>
        <w:gridCol w:w="205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 S. Scucchi</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21,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5852/000095013404006618/d14506exv3w1w1.txt" TargetMode="External"/><Relationship Id="rId3" Type="http://schemas.openxmlformats.org/officeDocument/2006/relationships/hyperlink" Target="https://www.sec.gov/Archives/edgar/data/315852/000095013405014172/d27290exv3w1.htm" TargetMode="External"/><Relationship Id="rId4" Type="http://schemas.openxmlformats.org/officeDocument/2006/relationships/hyperlink" Target="https://www.sec.gov/Archives/edgar/data/315852/000095013408013177/d58677exv3w1.htm" TargetMode="External"/><Relationship Id="rId5" Type="http://schemas.openxmlformats.org/officeDocument/2006/relationships/hyperlink" Target="https://www.sec.gov/Archives/edgar/data/315852/000095017024055770/rrc-ex3_1.htm" TargetMode="External"/><Relationship Id="rId6" Type="http://schemas.openxmlformats.org/officeDocument/2006/relationships/hyperlink" Target="https://www.sec.gov/Archives/edgar/data/315852/000119312516594689/d152955dex31.htm" TargetMode="External"/><Relationship Id="rId7" Type="http://schemas.openxmlformats.org/officeDocument/2006/relationships/hyperlink" Target="https://www.sec.gov/Archives/edgar/data/315852/000119312525228412/rrc-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18989</Words>
  <Characters>100331</Characters>
  <CharactersWithSpaces>121784</CharactersWithSpaces>
  <Paragraphs>9644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