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Maxwell Greg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THROCKMORTON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RANGE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22"/>
        <w:gridCol w:w="932"/>
        <w:gridCol w:w="802"/>
        <w:gridCol w:w="618"/>
        <w:gridCol w:w="334"/>
        <w:gridCol w:w="839"/>
        <w:gridCol w:w="396"/>
        <w:gridCol w:w="1013"/>
        <w:gridCol w:w="1079"/>
        <w:gridCol w:w="942"/>
        <w:gridCol w:w="15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0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5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0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Unvested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41.2745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13,966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Unvested Stock</w:t>
            </w:r>
          </w:p>
        </w:tc>
      </w:tr>
      <w:tr>
        <w:trPr/>
        <w:tc>
          <w:tcPr>
            <w:tcW w:w="17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Unvested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41.49</w:t>
            </w:r>
            <w:r>
              <w:rPr/>
              <w:t xml:space="preserve"> </w:t>
            </w:r>
          </w:p>
        </w:tc>
        <w:tc>
          <w:tcPr>
            <w:tcW w:w="10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6,784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Unvested Stock</w:t>
            </w:r>
          </w:p>
        </w:tc>
      </w:tr>
      <w:tr>
        <w:trPr/>
        <w:tc>
          <w:tcPr>
            <w:tcW w:w="17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41.49</w:t>
            </w:r>
            <w:r>
              <w:rPr/>
              <w:t xml:space="preserve"> </w:t>
            </w:r>
          </w:p>
        </w:tc>
        <w:tc>
          <w:tcPr>
            <w:tcW w:w="10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116,239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7,438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Deferred Compensation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awarded to the Board of Directors are vested 100% on the 1 year anniversary of the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 price of $41.2745 detemined by 5-day volume weighted average price from May 5, 2026 to May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While the transfer of these shares from an indirect to direct holding is exempt from reporting, the reporting person nonetheless has voluntarily decided to disclose this information.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Erin W. McDowell,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7332" TargetMode="External"/><Relationship Id="rId5" Type="http://schemas.openxmlformats.org/officeDocument/2006/relationships/hyperlink" Target="http://www.sec.gov/cgi-bin/browse-edgar?action=getcompany&amp;CIK=00003158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658</Words>
  <Characters>3552</Characters>
  <CharactersWithSpaces>4131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